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rawings/drawing1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Mkatabulky"/>
        <w:tblW w:w="9067" w:type="dxa"/>
        <w:tblLayout w:type="fixed"/>
        <w:tblLook w:val="04A0" w:firstRow="1" w:lastRow="0" w:firstColumn="1" w:lastColumn="0" w:noHBand="0" w:noVBand="1"/>
      </w:tblPr>
      <w:tblGrid>
        <w:gridCol w:w="1853"/>
        <w:gridCol w:w="7214"/>
      </w:tblGrid>
      <w:tr w:rsidR="0058410E" w:rsidRPr="001E3983" w:rsidTr="00F64590">
        <w:tc>
          <w:tcPr>
            <w:tcW w:w="9067" w:type="dxa"/>
            <w:gridSpan w:val="2"/>
            <w:shd w:val="clear" w:color="auto" w:fill="C5E0B3" w:themeFill="accent6" w:themeFillTint="66"/>
          </w:tcPr>
          <w:p w:rsidR="0058410E" w:rsidRPr="001E3983" w:rsidRDefault="0058410E" w:rsidP="00452076">
            <w:pPr>
              <w:jc w:val="both"/>
              <w:rPr>
                <w:b/>
              </w:rPr>
            </w:pPr>
            <w:r w:rsidRPr="001E3983">
              <w:rPr>
                <w:b/>
              </w:rPr>
              <w:t xml:space="preserve">LIST </w:t>
            </w:r>
            <w:r>
              <w:rPr>
                <w:b/>
              </w:rPr>
              <w:t>OPATŘENÍ</w:t>
            </w:r>
          </w:p>
        </w:tc>
      </w:tr>
      <w:tr w:rsidR="0058410E" w:rsidTr="00F64590">
        <w:tc>
          <w:tcPr>
            <w:tcW w:w="1853" w:type="dxa"/>
            <w:shd w:val="clear" w:color="auto" w:fill="C5E0B3" w:themeFill="accent6" w:themeFillTint="66"/>
          </w:tcPr>
          <w:p w:rsidR="0058410E" w:rsidRDefault="0058410E" w:rsidP="00452076">
            <w:pPr>
              <w:jc w:val="both"/>
            </w:pPr>
            <w:r>
              <w:t>ID opatření</w:t>
            </w:r>
          </w:p>
        </w:tc>
        <w:tc>
          <w:tcPr>
            <w:tcW w:w="7214" w:type="dxa"/>
            <w:shd w:val="clear" w:color="auto" w:fill="auto"/>
          </w:tcPr>
          <w:p w:rsidR="0058410E" w:rsidRDefault="0058410E" w:rsidP="00452076">
            <w:pPr>
              <w:jc w:val="both"/>
            </w:pPr>
            <w:r>
              <w:t>SO</w:t>
            </w:r>
            <w:r w:rsidR="005D3541">
              <w:t xml:space="preserve"> </w:t>
            </w:r>
            <w:r>
              <w:t>01</w:t>
            </w:r>
          </w:p>
        </w:tc>
      </w:tr>
      <w:tr w:rsidR="0058410E" w:rsidRPr="000D36BF" w:rsidTr="00F64590">
        <w:tc>
          <w:tcPr>
            <w:tcW w:w="1853" w:type="dxa"/>
            <w:shd w:val="clear" w:color="auto" w:fill="C5E0B3" w:themeFill="accent6" w:themeFillTint="66"/>
          </w:tcPr>
          <w:p w:rsidR="0058410E" w:rsidRDefault="0058410E" w:rsidP="00452076">
            <w:pPr>
              <w:jc w:val="both"/>
            </w:pPr>
            <w:r>
              <w:t>ID problému</w:t>
            </w:r>
          </w:p>
        </w:tc>
        <w:tc>
          <w:tcPr>
            <w:tcW w:w="7214" w:type="dxa"/>
            <w:shd w:val="clear" w:color="auto" w:fill="auto"/>
          </w:tcPr>
          <w:p w:rsidR="0058410E" w:rsidRPr="000D36BF" w:rsidRDefault="005D3541" w:rsidP="00452076">
            <w:pPr>
              <w:jc w:val="both"/>
            </w:pPr>
            <w:r>
              <w:t>PROTIVÍN</w:t>
            </w:r>
            <w:r w:rsidR="0058410E">
              <w:t xml:space="preserve"> 01</w:t>
            </w:r>
          </w:p>
        </w:tc>
      </w:tr>
      <w:tr w:rsidR="0058410E" w:rsidRPr="000D36BF" w:rsidTr="00F64590">
        <w:tc>
          <w:tcPr>
            <w:tcW w:w="1853" w:type="dxa"/>
            <w:shd w:val="clear" w:color="auto" w:fill="C5E0B3" w:themeFill="accent6" w:themeFillTint="66"/>
          </w:tcPr>
          <w:p w:rsidR="0058410E" w:rsidRDefault="0058410E" w:rsidP="00452076">
            <w:pPr>
              <w:jc w:val="both"/>
            </w:pPr>
            <w:r>
              <w:t>Katastrální území:</w:t>
            </w:r>
          </w:p>
        </w:tc>
        <w:tc>
          <w:tcPr>
            <w:tcW w:w="7214" w:type="dxa"/>
            <w:shd w:val="clear" w:color="auto" w:fill="auto"/>
          </w:tcPr>
          <w:p w:rsidR="0058410E" w:rsidRPr="000D36BF" w:rsidRDefault="005D3541" w:rsidP="00452076">
            <w:pPr>
              <w:jc w:val="both"/>
            </w:pPr>
            <w:r>
              <w:t>Protivín</w:t>
            </w:r>
          </w:p>
        </w:tc>
      </w:tr>
      <w:tr w:rsidR="0058410E" w:rsidRPr="000D36BF" w:rsidTr="00F64590">
        <w:tc>
          <w:tcPr>
            <w:tcW w:w="1853" w:type="dxa"/>
            <w:shd w:val="clear" w:color="auto" w:fill="C5E0B3" w:themeFill="accent6" w:themeFillTint="66"/>
          </w:tcPr>
          <w:p w:rsidR="0058410E" w:rsidRDefault="0058410E" w:rsidP="00452076">
            <w:pPr>
              <w:jc w:val="both"/>
            </w:pPr>
            <w:r>
              <w:t>Popis opatření</w:t>
            </w:r>
          </w:p>
        </w:tc>
        <w:tc>
          <w:tcPr>
            <w:tcW w:w="7214" w:type="dxa"/>
            <w:shd w:val="clear" w:color="auto" w:fill="auto"/>
          </w:tcPr>
          <w:p w:rsidR="0058410E" w:rsidRPr="000D36BF" w:rsidRDefault="00F43E8A" w:rsidP="00F43E8A">
            <w:r w:rsidRPr="00640D7D">
              <w:t xml:space="preserve">Je řešeno </w:t>
            </w:r>
            <w:r>
              <w:t xml:space="preserve">hlavně </w:t>
            </w:r>
            <w:r w:rsidRPr="00640D7D">
              <w:t xml:space="preserve">povodí kritického bodu, které spočívá v revitalizaci vodních toků a zatravnění jejich údolnice. Přímo v kritickém bodě je navržena rozsáhlá </w:t>
            </w:r>
            <w:r>
              <w:t xml:space="preserve">vodní nádrž </w:t>
            </w:r>
            <w:r w:rsidRPr="00640D7D">
              <w:t xml:space="preserve">a v jihovýchodní části je navržena </w:t>
            </w:r>
            <w:r w:rsidRPr="007D63D1">
              <w:t xml:space="preserve">retenční </w:t>
            </w:r>
            <w:r>
              <w:t>hrázka</w:t>
            </w:r>
            <w:r w:rsidRPr="00640D7D">
              <w:t>. Dále je celý systém doplněn návrhem nebo obnovením několika polních cest.</w:t>
            </w:r>
          </w:p>
        </w:tc>
      </w:tr>
      <w:tr w:rsidR="00AB43B2" w:rsidRPr="000D36BF" w:rsidTr="00AB43B2">
        <w:tc>
          <w:tcPr>
            <w:tcW w:w="9067" w:type="dxa"/>
            <w:gridSpan w:val="2"/>
            <w:shd w:val="clear" w:color="auto" w:fill="auto"/>
          </w:tcPr>
          <w:p w:rsidR="00AB43B2" w:rsidRPr="00640D7D" w:rsidRDefault="00AB43B2" w:rsidP="00F43E8A">
            <w:r>
              <w:rPr>
                <w:noProof/>
                <w:lang w:eastAsia="cs-CZ"/>
              </w:rPr>
              <w:drawing>
                <wp:inline distT="0" distB="0" distL="0" distR="0" wp14:anchorId="25D05C52" wp14:editId="45726F56">
                  <wp:extent cx="5619750" cy="3970746"/>
                  <wp:effectExtent l="0" t="0" r="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:\__PLANOVANI_KONCEPCE\4030_SOP_Prameny\obrazky\SO01_ab_si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3135" cy="39731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30B5" w:rsidRPr="000D36BF" w:rsidTr="00AB43B2">
        <w:tc>
          <w:tcPr>
            <w:tcW w:w="9067" w:type="dxa"/>
            <w:gridSpan w:val="2"/>
            <w:shd w:val="clear" w:color="auto" w:fill="auto"/>
          </w:tcPr>
          <w:p w:rsidR="005B30B5" w:rsidRDefault="005B30B5" w:rsidP="00F43E8A">
            <w:pPr>
              <w:rPr>
                <w:noProof/>
                <w:lang w:eastAsia="cs-CZ"/>
              </w:rPr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>
                  <wp:extent cx="5620385" cy="3971290"/>
                  <wp:effectExtent l="0" t="0" r="0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O 01b.jpg"/>
                          <pic:cNvPicPr/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ackgroundRemoval t="0" b="100000" l="1925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0385" cy="397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410E" w:rsidRDefault="0058410E" w:rsidP="00452076">
      <w:pPr>
        <w:pStyle w:val="Nadpis1"/>
        <w:jc w:val="both"/>
      </w:pPr>
      <w:r>
        <w:t>Základní parametry opatření</w:t>
      </w:r>
      <w:r w:rsidR="005F41D9">
        <w:t xml:space="preserve"> </w:t>
      </w:r>
    </w:p>
    <w:p w:rsidR="0058410E" w:rsidRDefault="0058410E" w:rsidP="00452076">
      <w:pPr>
        <w:pStyle w:val="Nadpis2"/>
        <w:jc w:val="both"/>
      </w:pPr>
      <w:r>
        <w:t>SO</w:t>
      </w:r>
      <w:r w:rsidR="005D3541">
        <w:t xml:space="preserve"> </w:t>
      </w:r>
      <w:r>
        <w:t>01</w:t>
      </w:r>
      <w:r w:rsidR="005D3541">
        <w:t xml:space="preserve">.1 – </w:t>
      </w:r>
      <w:r w:rsidR="00B25952">
        <w:t>Vodní nádrž</w:t>
      </w:r>
    </w:p>
    <w:p w:rsidR="0058410E" w:rsidRPr="009D1985" w:rsidRDefault="0058410E" w:rsidP="00452076">
      <w:pPr>
        <w:keepNext/>
        <w:jc w:val="both"/>
        <w:rPr>
          <w:u w:val="single"/>
        </w:rPr>
      </w:pPr>
      <w:r w:rsidRPr="009D1985">
        <w:rPr>
          <w:u w:val="single"/>
        </w:rPr>
        <w:t>Popis a základní parametry opatření</w:t>
      </w:r>
    </w:p>
    <w:p w:rsidR="005B2C47" w:rsidRDefault="00067B51" w:rsidP="00452076">
      <w:pPr>
        <w:jc w:val="both"/>
      </w:pPr>
      <w:r w:rsidRPr="00B25952">
        <w:t xml:space="preserve">V místě kritického bodu se v minulosti vyskytoval rybník, jak je patrné na mapách stabilního katastru. Jako hráz pravděpodobně sloužilo těleso stávající komunikace, které je vyvýšeno 2 m nad okolním terénem. </w:t>
      </w:r>
      <w:r w:rsidR="00B25952">
        <w:t>Je navrženo obnovení rybníka s využitím stávajícího tělesa silnice jako vzdouvacího objektu. Vodní nádrž</w:t>
      </w:r>
      <w:r w:rsidR="005B2C47">
        <w:t xml:space="preserve"> zlepší vodní režim v krajině, zadrží významné množství vody a zároveň bude schopna zadržet i určitou část povodňových průtoků.</w:t>
      </w:r>
      <w:r w:rsidR="00B25952">
        <w:t xml:space="preserve"> </w:t>
      </w:r>
    </w:p>
    <w:p w:rsidR="0058410E" w:rsidRDefault="00067B51" w:rsidP="00452076">
      <w:pPr>
        <w:jc w:val="both"/>
      </w:pPr>
      <w:r w:rsidRPr="00067B51">
        <w:t>Těleso silnice bude chráněno novou sypanou hrází, která bude opřena o těleso komunikace. Hráz bude doplněna sdruženým objektem, který bude umístěn před stávající mostní konstrukci. Běžné průtoky budou převáděny</w:t>
      </w:r>
      <w:r w:rsidR="00B25952">
        <w:t xml:space="preserve"> výpustným zařízením požerákového typu</w:t>
      </w:r>
      <w:r w:rsidRPr="00067B51">
        <w:t xml:space="preserve">, povodňové průtoky se pak budou přelévat přes bezpečnostní přeliv objektu, který bude umístěn </w:t>
      </w:r>
      <w:r w:rsidR="00B25952">
        <w:t>minimálně 0,5</w:t>
      </w:r>
      <w:r w:rsidRPr="00067B51">
        <w:t xml:space="preserve"> m pod </w:t>
      </w:r>
      <w:r w:rsidR="00B25952">
        <w:t>tělesem silnice</w:t>
      </w:r>
      <w:r w:rsidRPr="00843899">
        <w:t xml:space="preserve">. </w:t>
      </w:r>
      <w:r w:rsidR="00843899">
        <w:t>Odpadní šachta bezpečnostního přelivu bude umístěna v tělese silnice v místě stávajícího propustku s nedostatečnou kapacitou.</w:t>
      </w:r>
    </w:p>
    <w:p w:rsidR="0058410E" w:rsidRPr="00A26571" w:rsidRDefault="0058410E" w:rsidP="00452076">
      <w:pPr>
        <w:jc w:val="both"/>
        <w:rPr>
          <w:i/>
          <w:iCs/>
          <w:color w:val="0070C0"/>
        </w:rPr>
      </w:pPr>
      <w:bookmarkStart w:id="0" w:name="_Hlk24629240"/>
      <w:r w:rsidRPr="00843899">
        <w:rPr>
          <w:i/>
          <w:iCs/>
          <w:color w:val="0070C0"/>
        </w:rPr>
        <w:t xml:space="preserve">Vzorový výkres je v části </w:t>
      </w:r>
      <w:proofErr w:type="gramStart"/>
      <w:r w:rsidRPr="00843899">
        <w:rPr>
          <w:i/>
          <w:iCs/>
          <w:color w:val="0070C0"/>
        </w:rPr>
        <w:t>6-vzorové</w:t>
      </w:r>
      <w:proofErr w:type="gramEnd"/>
      <w:r w:rsidRPr="00843899">
        <w:rPr>
          <w:i/>
          <w:iCs/>
          <w:color w:val="0070C0"/>
        </w:rPr>
        <w:t xml:space="preserve"> výkresy</w:t>
      </w:r>
      <w:r w:rsidR="00153686">
        <w:rPr>
          <w:i/>
          <w:iCs/>
          <w:color w:val="0070C0"/>
        </w:rPr>
        <w:t xml:space="preserve"> </w:t>
      </w:r>
      <w:r w:rsidRPr="00843899">
        <w:rPr>
          <w:i/>
          <w:iCs/>
          <w:color w:val="0070C0"/>
        </w:rPr>
        <w:t xml:space="preserve">- </w:t>
      </w:r>
      <w:r w:rsidR="00843899" w:rsidRPr="00843899">
        <w:rPr>
          <w:i/>
          <w:iCs/>
          <w:color w:val="0070C0"/>
        </w:rPr>
        <w:t>SDRUŽENÝ OBJEKT</w:t>
      </w:r>
    </w:p>
    <w:p w:rsidR="0058410E" w:rsidRDefault="0058410E" w:rsidP="00452076">
      <w:pPr>
        <w:pStyle w:val="Nadpis2"/>
        <w:jc w:val="both"/>
      </w:pPr>
      <w:bookmarkStart w:id="1" w:name="_Hlk22744110"/>
      <w:bookmarkEnd w:id="0"/>
      <w:r>
        <w:t>SO</w:t>
      </w:r>
      <w:r w:rsidR="005D3541">
        <w:t xml:space="preserve"> </w:t>
      </w:r>
      <w:r>
        <w:t>01</w:t>
      </w:r>
      <w:r w:rsidR="005D3541">
        <w:t>.</w:t>
      </w:r>
      <w:proofErr w:type="gramStart"/>
      <w:r w:rsidR="005D3541">
        <w:t>2a</w:t>
      </w:r>
      <w:proofErr w:type="gramEnd"/>
      <w:r w:rsidR="00A33BED">
        <w:t xml:space="preserve"> – Revitalizace toku</w:t>
      </w:r>
    </w:p>
    <w:p w:rsidR="0058410E" w:rsidRPr="00882A42" w:rsidRDefault="0058410E" w:rsidP="00452076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58410E" w:rsidRDefault="00712904" w:rsidP="00942AAD">
      <w:pPr>
        <w:jc w:val="both"/>
      </w:pPr>
      <w:r>
        <w:t>V prvním úseku vodního toku (cca 350 m) bude zrušeno stávající koryto v podobě pravidelného lichoběžníku a revitalizovaný vodní tok bude veden zcela novou trasou, což je výhodnější z hlediska realizace, kdy není třeba technicky řešit křížení nového a původního koryta. Na dalších cca 280 m vodního toku</w:t>
      </w:r>
      <w:r w:rsidR="00F142FD">
        <w:t xml:space="preserve"> je navrženo </w:t>
      </w:r>
      <w:proofErr w:type="spellStart"/>
      <w:r w:rsidR="00F142FD">
        <w:t>odtrubnění</w:t>
      </w:r>
      <w:proofErr w:type="spellEnd"/>
      <w:r w:rsidR="00F142FD">
        <w:t xml:space="preserve"> </w:t>
      </w:r>
      <w:proofErr w:type="spellStart"/>
      <w:r w:rsidR="00F142FD">
        <w:t>zatrubněné</w:t>
      </w:r>
      <w:proofErr w:type="spellEnd"/>
      <w:r w:rsidR="00F142FD">
        <w:t xml:space="preserve"> části vodního toku.</w:t>
      </w:r>
      <w:bookmarkEnd w:id="1"/>
    </w:p>
    <w:p w:rsidR="00F142FD" w:rsidRDefault="00F142FD" w:rsidP="00942AAD">
      <w:pPr>
        <w:jc w:val="both"/>
      </w:pPr>
      <w:r>
        <w:lastRenderedPageBreak/>
        <w:t>Revitalizace vodoteče</w:t>
      </w:r>
      <w:r w:rsidRPr="00F142FD">
        <w:t xml:space="preserve"> spočív</w:t>
      </w:r>
      <w:r>
        <w:t xml:space="preserve">á </w:t>
      </w:r>
      <w:r w:rsidRPr="00F142FD">
        <w:t xml:space="preserve">v návrhu nové trasy koryta, kde by došlo k rozvlnění vodního toku a menšímu zahloubení koryta. Při zvýšených průtocích se tak voda bude rozlévat do okolní nivy, zadrží se tak dočasně </w:t>
      </w:r>
      <w:r>
        <w:t>část</w:t>
      </w:r>
      <w:r w:rsidRPr="00F142FD">
        <w:t xml:space="preserve"> povodně a zároveň se sníží rychlost vody v korytě. </w:t>
      </w:r>
    </w:p>
    <w:p w:rsidR="00153686" w:rsidRPr="00153686" w:rsidRDefault="00153686" w:rsidP="00942AAD">
      <w:pPr>
        <w:jc w:val="both"/>
        <w:rPr>
          <w:i/>
          <w:iCs/>
          <w:color w:val="0070C0"/>
        </w:rPr>
      </w:pPr>
      <w:bookmarkStart w:id="2" w:name="_Hlk24629317"/>
      <w:r w:rsidRPr="00153686">
        <w:rPr>
          <w:i/>
          <w:iCs/>
          <w:color w:val="0070C0"/>
        </w:rPr>
        <w:t xml:space="preserve">Vzorový výkres je v části </w:t>
      </w:r>
      <w:proofErr w:type="gramStart"/>
      <w:r w:rsidRPr="00153686">
        <w:rPr>
          <w:i/>
          <w:iCs/>
          <w:color w:val="0070C0"/>
        </w:rPr>
        <w:t>6-vzorové</w:t>
      </w:r>
      <w:proofErr w:type="gramEnd"/>
      <w:r w:rsidRPr="00153686">
        <w:rPr>
          <w:i/>
          <w:iCs/>
          <w:color w:val="0070C0"/>
        </w:rPr>
        <w:t xml:space="preserve"> výkresy - REVITALIZACE_INTRAVILÁN</w:t>
      </w:r>
    </w:p>
    <w:bookmarkEnd w:id="2"/>
    <w:p w:rsidR="00A33BED" w:rsidRDefault="00A33BED" w:rsidP="00A33BED">
      <w:pPr>
        <w:pStyle w:val="Nadpis2"/>
        <w:jc w:val="both"/>
      </w:pPr>
      <w:r>
        <w:t>SO 01.</w:t>
      </w:r>
      <w:proofErr w:type="gramStart"/>
      <w:r>
        <w:t>2b</w:t>
      </w:r>
      <w:proofErr w:type="gramEnd"/>
      <w:r>
        <w:t xml:space="preserve"> – Zatravnění údolnice</w:t>
      </w:r>
    </w:p>
    <w:p w:rsidR="00A33BED" w:rsidRPr="00882A42" w:rsidRDefault="00A33BED" w:rsidP="00A33BED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A33BED" w:rsidRDefault="0035395B" w:rsidP="00A33BED">
      <w:pPr>
        <w:jc w:val="both"/>
      </w:pPr>
      <w:r>
        <w:t>V okolí navrhované revitalizace SO 01.</w:t>
      </w:r>
      <w:proofErr w:type="gramStart"/>
      <w:r>
        <w:t>2a</w:t>
      </w:r>
      <w:proofErr w:type="gramEnd"/>
      <w:r>
        <w:t xml:space="preserve"> je navrženo ochranné zatravnění</w:t>
      </w:r>
      <w:r w:rsidR="00727150">
        <w:t xml:space="preserve"> v minimální šířce 20 m</w:t>
      </w:r>
      <w:r>
        <w:t xml:space="preserve"> jako ochrana revitalizovaného toku před splaveninami z okolních pozemků orné půdy.</w:t>
      </w:r>
    </w:p>
    <w:p w:rsidR="00A33BED" w:rsidRDefault="00A33BED" w:rsidP="00A33BED">
      <w:pPr>
        <w:pStyle w:val="Nadpis2"/>
        <w:jc w:val="both"/>
      </w:pPr>
      <w:r>
        <w:t>SO 01.</w:t>
      </w:r>
      <w:proofErr w:type="gramStart"/>
      <w:r>
        <w:t>3a</w:t>
      </w:r>
      <w:proofErr w:type="gramEnd"/>
      <w:r>
        <w:t xml:space="preserve"> – Revitalizace toku</w:t>
      </w:r>
    </w:p>
    <w:p w:rsidR="00A33BED" w:rsidRPr="00882A42" w:rsidRDefault="00A33BED" w:rsidP="00A33BED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A33BED" w:rsidRDefault="00593C6E" w:rsidP="00A33BED">
      <w:pPr>
        <w:jc w:val="both"/>
      </w:pPr>
      <w:r>
        <w:t>První úsek vodního toku bude veden ve zcela nové trase. V současnosti je vodní tok veden prizmatickým korytem (v současnosti dosti zaneseným) podél cesty až k místní komunikaci, jejíž příkopem vede až ke kritickému bodu. V návrhu je počítáno s umístěním propustku v místě soutoku vodotečí ID 10246008 a ID 10247910 a převedením vodního toku na druhou stranu cesty, kde by byl veden napříč pozemky orné půdy až k opatření SO 01.</w:t>
      </w:r>
      <w:proofErr w:type="gramStart"/>
      <w:r>
        <w:t>2a</w:t>
      </w:r>
      <w:proofErr w:type="gramEnd"/>
      <w:r>
        <w:t xml:space="preserve">. Výše od soutoku </w:t>
      </w:r>
      <w:r w:rsidR="00727150">
        <w:t xml:space="preserve">až k lesnímu porostu </w:t>
      </w:r>
      <w:r>
        <w:t>je navrženo mírné rozvolnění koryta</w:t>
      </w:r>
      <w:r w:rsidR="00727150">
        <w:t>.</w:t>
      </w:r>
    </w:p>
    <w:p w:rsidR="0035395B" w:rsidRDefault="0035395B" w:rsidP="0035395B">
      <w:pPr>
        <w:jc w:val="both"/>
      </w:pPr>
      <w:r>
        <w:t>Revitalizace vodoteče</w:t>
      </w:r>
      <w:r w:rsidRPr="00F142FD">
        <w:t xml:space="preserve"> spočív</w:t>
      </w:r>
      <w:r>
        <w:t xml:space="preserve">á </w:t>
      </w:r>
      <w:r w:rsidRPr="00F142FD">
        <w:t xml:space="preserve">v návrhu nové trasy koryta, kde by došlo k rozvlnění vodního toku a menšímu zahloubení koryta. Při zvýšených průtocích se tak voda bude rozlévat do okolní nivy, zadrží se tak dočasně </w:t>
      </w:r>
      <w:r>
        <w:t>část</w:t>
      </w:r>
      <w:r w:rsidRPr="00F142FD">
        <w:t xml:space="preserve"> povodně a zároveň se sníží rychlost vody v korytě. </w:t>
      </w:r>
      <w:bookmarkStart w:id="3" w:name="_Hlk22822673"/>
      <w:r w:rsidRPr="00F142FD">
        <w:t>Při návrhu bylo uvažováno stávající odvodnění v ploše území.</w:t>
      </w:r>
      <w:bookmarkEnd w:id="3"/>
    </w:p>
    <w:p w:rsidR="00153686" w:rsidRPr="00153686" w:rsidRDefault="00153686" w:rsidP="00153686">
      <w:pPr>
        <w:jc w:val="both"/>
        <w:rPr>
          <w:i/>
          <w:iCs/>
          <w:color w:val="0070C0"/>
        </w:rPr>
      </w:pPr>
      <w:r w:rsidRPr="00153686">
        <w:rPr>
          <w:i/>
          <w:iCs/>
          <w:color w:val="0070C0"/>
        </w:rPr>
        <w:t xml:space="preserve">Vzorový výkres je v části </w:t>
      </w:r>
      <w:proofErr w:type="gramStart"/>
      <w:r w:rsidRPr="00153686">
        <w:rPr>
          <w:i/>
          <w:iCs/>
          <w:color w:val="0070C0"/>
        </w:rPr>
        <w:t>6-vzorové</w:t>
      </w:r>
      <w:proofErr w:type="gramEnd"/>
      <w:r w:rsidRPr="00153686">
        <w:rPr>
          <w:i/>
          <w:iCs/>
          <w:color w:val="0070C0"/>
        </w:rPr>
        <w:t xml:space="preserve"> výkresy - REVITALIZACE_INTRAVILÁN</w:t>
      </w:r>
    </w:p>
    <w:p w:rsidR="00A33BED" w:rsidRDefault="00A33BED" w:rsidP="00A33BED">
      <w:pPr>
        <w:pStyle w:val="Nadpis2"/>
        <w:jc w:val="both"/>
      </w:pPr>
      <w:r>
        <w:t>SO 01.</w:t>
      </w:r>
      <w:proofErr w:type="gramStart"/>
      <w:r>
        <w:t>3b</w:t>
      </w:r>
      <w:proofErr w:type="gramEnd"/>
      <w:r>
        <w:t xml:space="preserve"> – </w:t>
      </w:r>
      <w:r w:rsidRPr="00A33BED">
        <w:t>Zatravnění údolnice</w:t>
      </w:r>
    </w:p>
    <w:p w:rsidR="00A33BED" w:rsidRPr="00882A42" w:rsidRDefault="00A33BED" w:rsidP="00A33BED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727150" w:rsidRDefault="00727150" w:rsidP="00727150">
      <w:pPr>
        <w:jc w:val="both"/>
      </w:pPr>
      <w:r>
        <w:t>V okolí navrhované revitalizace SO 01.</w:t>
      </w:r>
      <w:proofErr w:type="gramStart"/>
      <w:r>
        <w:t>3a</w:t>
      </w:r>
      <w:proofErr w:type="gramEnd"/>
      <w:r>
        <w:t xml:space="preserve"> je navrženo ochranné zatravnění v minimální šířce 20 m jako ochrana revitalizovaného toku před splaveninami z okolních pozemků orné půdy.</w:t>
      </w:r>
    </w:p>
    <w:p w:rsidR="00A33BED" w:rsidRDefault="00A33BED" w:rsidP="00A33BED">
      <w:pPr>
        <w:pStyle w:val="Nadpis2"/>
        <w:jc w:val="both"/>
      </w:pPr>
      <w:r>
        <w:t>SO 01.4 – Protierozní zatravnění</w:t>
      </w:r>
    </w:p>
    <w:p w:rsidR="00A33BED" w:rsidRPr="00882A42" w:rsidRDefault="00A33BED" w:rsidP="00A33BED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A33BED" w:rsidRDefault="005140DB" w:rsidP="00A33BED">
      <w:pPr>
        <w:jc w:val="both"/>
      </w:pPr>
      <w:r w:rsidRPr="005140DB">
        <w:t xml:space="preserve">Na </w:t>
      </w:r>
      <w:r>
        <w:t>erozně ohroženém svahu v západní části povodí, kde erozní smyv místně přesahuje</w:t>
      </w:r>
      <w:r w:rsidRPr="005140DB">
        <w:t xml:space="preserve"> </w:t>
      </w:r>
      <w:r>
        <w:t>i 1</w:t>
      </w:r>
      <w:r w:rsidR="00C810F8">
        <w:t>2</w:t>
      </w:r>
      <w:r>
        <w:t xml:space="preserve"> t/ha/rok je navrženo zatravnění. Zatravněna je horní část svahu pod lesem nad navrženými průlehy SO 1.5.</w:t>
      </w:r>
      <w:r w:rsidRPr="005140DB">
        <w:t xml:space="preserve"> Zatravnění výrazně sníží erozní smyv, stabilizuje svah a zároveň sníží povrchový odtok z lokality.</w:t>
      </w:r>
    </w:p>
    <w:p w:rsidR="00A33BED" w:rsidRDefault="00A33BED" w:rsidP="00A33BED">
      <w:pPr>
        <w:pStyle w:val="Nadpis2"/>
        <w:jc w:val="both"/>
      </w:pPr>
      <w:r>
        <w:t>SO 01.5 – Retenční průlehy</w:t>
      </w:r>
    </w:p>
    <w:p w:rsidR="00A33BED" w:rsidRPr="00882A42" w:rsidRDefault="00A33BED" w:rsidP="00A33BED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320FB2" w:rsidRPr="00C810F8" w:rsidRDefault="00320FB2" w:rsidP="00C810F8">
      <w:pPr>
        <w:jc w:val="both"/>
        <w:rPr>
          <w:bCs/>
        </w:rPr>
      </w:pPr>
      <w:bookmarkStart w:id="4" w:name="_Hlk22822047"/>
      <w:r>
        <w:rPr>
          <w:bCs/>
        </w:rPr>
        <w:t>A</w:t>
      </w:r>
      <w:r w:rsidRPr="00320FB2">
        <w:rPr>
          <w:bCs/>
        </w:rPr>
        <w:t xml:space="preserve">by bylo umožněno další hospodaření, které by erozně neohrožovalo půdu, jsou </w:t>
      </w:r>
      <w:r>
        <w:rPr>
          <w:bCs/>
        </w:rPr>
        <w:t>pod zatravněním SO 01.</w:t>
      </w:r>
      <w:r w:rsidR="00E812E5">
        <w:rPr>
          <w:bCs/>
        </w:rPr>
        <w:t>4</w:t>
      </w:r>
      <w:r>
        <w:rPr>
          <w:bCs/>
        </w:rPr>
        <w:t xml:space="preserve"> navrženy dva retenční přejezdné průlehy o</w:t>
      </w:r>
      <w:r w:rsidRPr="00320FB2">
        <w:rPr>
          <w:bCs/>
        </w:rPr>
        <w:t xml:space="preserve"> pozvolných sklonech svahů 1:10 a hloubce 1 m. Navržen</w:t>
      </w:r>
      <w:r>
        <w:rPr>
          <w:bCs/>
        </w:rPr>
        <w:t>é</w:t>
      </w:r>
      <w:r w:rsidRPr="00320FB2">
        <w:rPr>
          <w:bCs/>
        </w:rPr>
        <w:t xml:space="preserve"> průleh</w:t>
      </w:r>
      <w:r>
        <w:rPr>
          <w:bCs/>
        </w:rPr>
        <w:t>y</w:t>
      </w:r>
      <w:r w:rsidRPr="00320FB2">
        <w:rPr>
          <w:bCs/>
        </w:rPr>
        <w:t xml:space="preserve"> přeruší povrchový odtok, rozdělí erozně ohrožený svah a zadrží významné množství povrchového odtoku. Horní průleh je navržen pod zatravněním SO 1.4 druhý průleh o cca 80 m níže.</w:t>
      </w:r>
      <w:r>
        <w:rPr>
          <w:bCs/>
        </w:rPr>
        <w:t xml:space="preserve"> O</w:t>
      </w:r>
      <w:r w:rsidRPr="00320FB2">
        <w:rPr>
          <w:bCs/>
        </w:rPr>
        <w:t>bjem</w:t>
      </w:r>
      <w:r>
        <w:rPr>
          <w:bCs/>
        </w:rPr>
        <w:t xml:space="preserve"> vody</w:t>
      </w:r>
      <w:r w:rsidRPr="00320FB2">
        <w:rPr>
          <w:bCs/>
        </w:rPr>
        <w:t xml:space="preserve"> nad rámec kapacity průleh</w:t>
      </w:r>
      <w:r w:rsidR="00E812E5">
        <w:rPr>
          <w:bCs/>
        </w:rPr>
        <w:t>ů</w:t>
      </w:r>
      <w:r w:rsidRPr="00320FB2">
        <w:rPr>
          <w:bCs/>
        </w:rPr>
        <w:t xml:space="preserve"> bude převeden bezpečně do </w:t>
      </w:r>
      <w:r>
        <w:rPr>
          <w:bCs/>
        </w:rPr>
        <w:t xml:space="preserve">silničního </w:t>
      </w:r>
      <w:r w:rsidRPr="00320FB2">
        <w:rPr>
          <w:bCs/>
        </w:rPr>
        <w:t>příkopu</w:t>
      </w:r>
      <w:r w:rsidR="00E812E5">
        <w:rPr>
          <w:bCs/>
        </w:rPr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3"/>
        <w:gridCol w:w="1843"/>
        <w:gridCol w:w="1842"/>
        <w:gridCol w:w="1842"/>
        <w:gridCol w:w="1842"/>
      </w:tblGrid>
      <w:tr w:rsidR="00C810F8" w:rsidRPr="00C810F8" w:rsidTr="00C810F8">
        <w:trPr>
          <w:trHeight w:val="20"/>
          <w:tblHeader/>
        </w:trPr>
        <w:tc>
          <w:tcPr>
            <w:tcW w:w="1000" w:type="pct"/>
            <w:shd w:val="clear" w:color="auto" w:fill="BFBFBF" w:themeFill="background1" w:themeFillShade="BF"/>
            <w:noWrap/>
            <w:vAlign w:val="center"/>
          </w:tcPr>
          <w:p w:rsidR="00C810F8" w:rsidRPr="00C810F8" w:rsidRDefault="00C810F8" w:rsidP="00C810F8">
            <w:pPr>
              <w:spacing w:after="0"/>
              <w:jc w:val="both"/>
              <w:rPr>
                <w:b/>
                <w:bCs/>
              </w:rPr>
            </w:pPr>
            <w:r w:rsidRPr="00C810F8">
              <w:rPr>
                <w:b/>
                <w:bCs/>
              </w:rPr>
              <w:lastRenderedPageBreak/>
              <w:t>ID</w:t>
            </w:r>
          </w:p>
          <w:p w:rsidR="00C810F8" w:rsidRPr="00C810F8" w:rsidRDefault="00C810F8" w:rsidP="00C810F8">
            <w:pPr>
              <w:spacing w:after="0"/>
              <w:jc w:val="both"/>
              <w:rPr>
                <w:b/>
                <w:bCs/>
              </w:rPr>
            </w:pPr>
            <w:r w:rsidRPr="00C810F8">
              <w:rPr>
                <w:b/>
                <w:bCs/>
              </w:rPr>
              <w:t>opatření</w:t>
            </w:r>
          </w:p>
        </w:tc>
        <w:tc>
          <w:tcPr>
            <w:tcW w:w="1000" w:type="pct"/>
            <w:shd w:val="clear" w:color="auto" w:fill="BFBFBF" w:themeFill="background1" w:themeFillShade="BF"/>
            <w:vAlign w:val="center"/>
          </w:tcPr>
          <w:p w:rsidR="00C810F8" w:rsidRPr="00C810F8" w:rsidRDefault="00C810F8" w:rsidP="00C810F8">
            <w:pPr>
              <w:spacing w:after="0"/>
              <w:jc w:val="both"/>
              <w:rPr>
                <w:b/>
                <w:bCs/>
              </w:rPr>
            </w:pPr>
            <w:r w:rsidRPr="00C810F8">
              <w:rPr>
                <w:b/>
                <w:bCs/>
              </w:rPr>
              <w:t>Typ</w:t>
            </w:r>
          </w:p>
          <w:p w:rsidR="00C810F8" w:rsidRPr="00C810F8" w:rsidRDefault="00C810F8" w:rsidP="00C810F8">
            <w:pPr>
              <w:spacing w:after="0"/>
              <w:jc w:val="both"/>
              <w:rPr>
                <w:b/>
                <w:bCs/>
              </w:rPr>
            </w:pPr>
            <w:r w:rsidRPr="00C810F8">
              <w:rPr>
                <w:b/>
                <w:bCs/>
              </w:rPr>
              <w:t>opatření</w:t>
            </w:r>
          </w:p>
        </w:tc>
        <w:tc>
          <w:tcPr>
            <w:tcW w:w="1000" w:type="pct"/>
            <w:shd w:val="clear" w:color="auto" w:fill="BFBFBF" w:themeFill="background1" w:themeFillShade="BF"/>
            <w:vAlign w:val="center"/>
          </w:tcPr>
          <w:p w:rsidR="00C810F8" w:rsidRPr="00C810F8" w:rsidRDefault="00C810F8" w:rsidP="00C810F8">
            <w:pPr>
              <w:spacing w:after="0"/>
              <w:jc w:val="both"/>
              <w:rPr>
                <w:b/>
                <w:bCs/>
              </w:rPr>
            </w:pPr>
            <w:r w:rsidRPr="00C810F8">
              <w:rPr>
                <w:b/>
                <w:bCs/>
              </w:rPr>
              <w:t>Stav</w:t>
            </w:r>
          </w:p>
          <w:p w:rsidR="00C810F8" w:rsidRPr="00C810F8" w:rsidRDefault="00C810F8" w:rsidP="00C810F8">
            <w:pPr>
              <w:spacing w:after="0"/>
              <w:jc w:val="both"/>
              <w:rPr>
                <w:b/>
                <w:bCs/>
              </w:rPr>
            </w:pPr>
            <w:r w:rsidRPr="00C810F8">
              <w:rPr>
                <w:b/>
                <w:bCs/>
              </w:rPr>
              <w:t>objektu</w:t>
            </w:r>
          </w:p>
        </w:tc>
        <w:tc>
          <w:tcPr>
            <w:tcW w:w="1000" w:type="pct"/>
            <w:shd w:val="clear" w:color="auto" w:fill="BFBFBF" w:themeFill="background1" w:themeFillShade="BF"/>
            <w:vAlign w:val="center"/>
          </w:tcPr>
          <w:p w:rsidR="00C810F8" w:rsidRPr="00C810F8" w:rsidRDefault="00C810F8" w:rsidP="00C810F8">
            <w:pPr>
              <w:spacing w:after="0"/>
              <w:jc w:val="both"/>
              <w:rPr>
                <w:b/>
                <w:bCs/>
              </w:rPr>
            </w:pPr>
            <w:r w:rsidRPr="00C810F8">
              <w:rPr>
                <w:b/>
                <w:bCs/>
              </w:rPr>
              <w:t>Délka</w:t>
            </w:r>
          </w:p>
          <w:p w:rsidR="00C810F8" w:rsidRPr="00C810F8" w:rsidRDefault="00C810F8" w:rsidP="00C810F8">
            <w:pPr>
              <w:spacing w:after="0"/>
              <w:jc w:val="both"/>
              <w:rPr>
                <w:b/>
                <w:bCs/>
              </w:rPr>
            </w:pPr>
            <w:r w:rsidRPr="00C810F8">
              <w:rPr>
                <w:b/>
                <w:bCs/>
              </w:rPr>
              <w:t>[m]</w:t>
            </w:r>
          </w:p>
        </w:tc>
        <w:tc>
          <w:tcPr>
            <w:tcW w:w="1000" w:type="pct"/>
            <w:shd w:val="clear" w:color="auto" w:fill="BFBFBF" w:themeFill="background1" w:themeFillShade="BF"/>
            <w:vAlign w:val="center"/>
          </w:tcPr>
          <w:p w:rsidR="00C810F8" w:rsidRPr="00C810F8" w:rsidRDefault="00C810F8" w:rsidP="00C810F8">
            <w:pPr>
              <w:spacing w:after="0"/>
              <w:jc w:val="both"/>
              <w:rPr>
                <w:b/>
                <w:bCs/>
              </w:rPr>
            </w:pPr>
            <w:r w:rsidRPr="00C810F8">
              <w:rPr>
                <w:b/>
                <w:bCs/>
              </w:rPr>
              <w:t>Ret. objem</w:t>
            </w:r>
          </w:p>
          <w:p w:rsidR="00C810F8" w:rsidRPr="00C810F8" w:rsidRDefault="00C810F8" w:rsidP="00C810F8">
            <w:pPr>
              <w:spacing w:after="0"/>
              <w:jc w:val="both"/>
              <w:rPr>
                <w:b/>
                <w:bCs/>
              </w:rPr>
            </w:pPr>
            <w:r w:rsidRPr="00C810F8">
              <w:rPr>
                <w:b/>
                <w:bCs/>
              </w:rPr>
              <w:t>[m</w:t>
            </w:r>
            <w:r w:rsidRPr="00C810F8">
              <w:rPr>
                <w:b/>
                <w:bCs/>
                <w:vertAlign w:val="superscript"/>
              </w:rPr>
              <w:t>3</w:t>
            </w:r>
            <w:r w:rsidRPr="00C810F8">
              <w:rPr>
                <w:b/>
                <w:bCs/>
              </w:rPr>
              <w:t>]</w:t>
            </w:r>
          </w:p>
        </w:tc>
      </w:tr>
      <w:tr w:rsidR="00C810F8" w:rsidRPr="00C810F8" w:rsidTr="00C810F8">
        <w:trPr>
          <w:trHeight w:val="20"/>
        </w:trPr>
        <w:tc>
          <w:tcPr>
            <w:tcW w:w="1000" w:type="pct"/>
            <w:shd w:val="clear" w:color="auto" w:fill="auto"/>
            <w:noWrap/>
            <w:vAlign w:val="center"/>
          </w:tcPr>
          <w:p w:rsidR="00C810F8" w:rsidRPr="00C810F8" w:rsidRDefault="00C810F8" w:rsidP="00C810F8">
            <w:pPr>
              <w:spacing w:after="0"/>
              <w:jc w:val="both"/>
              <w:rPr>
                <w:bCs/>
              </w:rPr>
            </w:pPr>
            <w:r w:rsidRPr="00C810F8">
              <w:rPr>
                <w:bCs/>
              </w:rPr>
              <w:t>SO 01.</w:t>
            </w:r>
            <w:proofErr w:type="gramStart"/>
            <w:r w:rsidR="00E812E5">
              <w:rPr>
                <w:bCs/>
              </w:rPr>
              <w:t>5a</w:t>
            </w:r>
            <w:proofErr w:type="gramEnd"/>
          </w:p>
        </w:tc>
        <w:tc>
          <w:tcPr>
            <w:tcW w:w="1000" w:type="pct"/>
            <w:vAlign w:val="center"/>
          </w:tcPr>
          <w:p w:rsidR="00C810F8" w:rsidRPr="00C810F8" w:rsidRDefault="00C810F8" w:rsidP="00C810F8">
            <w:pPr>
              <w:spacing w:after="0"/>
              <w:jc w:val="both"/>
              <w:rPr>
                <w:bCs/>
              </w:rPr>
            </w:pPr>
            <w:r w:rsidRPr="00C810F8">
              <w:rPr>
                <w:bCs/>
              </w:rPr>
              <w:t>Průleh</w:t>
            </w:r>
          </w:p>
        </w:tc>
        <w:tc>
          <w:tcPr>
            <w:tcW w:w="1000" w:type="pct"/>
            <w:vAlign w:val="center"/>
          </w:tcPr>
          <w:p w:rsidR="00C810F8" w:rsidRPr="00C810F8" w:rsidRDefault="00C810F8" w:rsidP="00C810F8">
            <w:pPr>
              <w:spacing w:after="0"/>
              <w:jc w:val="both"/>
              <w:rPr>
                <w:bCs/>
              </w:rPr>
            </w:pPr>
            <w:r w:rsidRPr="00C810F8">
              <w:rPr>
                <w:bCs/>
              </w:rPr>
              <w:t>Návrh</w:t>
            </w:r>
          </w:p>
        </w:tc>
        <w:tc>
          <w:tcPr>
            <w:tcW w:w="1000" w:type="pct"/>
            <w:vAlign w:val="center"/>
          </w:tcPr>
          <w:p w:rsidR="00C810F8" w:rsidRPr="00C810F8" w:rsidRDefault="00E812E5" w:rsidP="00C810F8">
            <w:pPr>
              <w:spacing w:after="0"/>
              <w:jc w:val="both"/>
              <w:rPr>
                <w:bCs/>
              </w:rPr>
            </w:pPr>
            <w:r>
              <w:rPr>
                <w:bCs/>
              </w:rPr>
              <w:t>418</w:t>
            </w:r>
          </w:p>
        </w:tc>
        <w:tc>
          <w:tcPr>
            <w:tcW w:w="1000" w:type="pct"/>
            <w:vAlign w:val="center"/>
          </w:tcPr>
          <w:p w:rsidR="00C810F8" w:rsidRPr="00C810F8" w:rsidRDefault="00E812E5" w:rsidP="00C810F8">
            <w:pPr>
              <w:spacing w:after="0"/>
              <w:jc w:val="both"/>
              <w:rPr>
                <w:bCs/>
              </w:rPr>
            </w:pPr>
            <w:r>
              <w:rPr>
                <w:bCs/>
              </w:rPr>
              <w:t>4 180</w:t>
            </w:r>
          </w:p>
        </w:tc>
      </w:tr>
      <w:tr w:rsidR="00E812E5" w:rsidRPr="00C810F8" w:rsidTr="00E812E5">
        <w:trPr>
          <w:trHeight w:val="20"/>
        </w:trPr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12E5" w:rsidRPr="00C810F8" w:rsidRDefault="00E812E5" w:rsidP="009417E1">
            <w:pPr>
              <w:spacing w:after="0"/>
              <w:jc w:val="both"/>
              <w:rPr>
                <w:bCs/>
              </w:rPr>
            </w:pPr>
            <w:r w:rsidRPr="00C810F8">
              <w:rPr>
                <w:bCs/>
              </w:rPr>
              <w:t>SO 01.</w:t>
            </w:r>
            <w:proofErr w:type="gramStart"/>
            <w:r>
              <w:rPr>
                <w:bCs/>
              </w:rPr>
              <w:t>5b</w:t>
            </w:r>
            <w:proofErr w:type="gramEnd"/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12E5" w:rsidRPr="00C810F8" w:rsidRDefault="00E812E5" w:rsidP="009417E1">
            <w:pPr>
              <w:spacing w:after="0"/>
              <w:jc w:val="both"/>
              <w:rPr>
                <w:bCs/>
              </w:rPr>
            </w:pPr>
            <w:r w:rsidRPr="00C810F8">
              <w:rPr>
                <w:bCs/>
              </w:rPr>
              <w:t>Průleh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12E5" w:rsidRPr="00C810F8" w:rsidRDefault="00E812E5" w:rsidP="009417E1">
            <w:pPr>
              <w:spacing w:after="0"/>
              <w:jc w:val="both"/>
              <w:rPr>
                <w:bCs/>
              </w:rPr>
            </w:pPr>
            <w:r w:rsidRPr="00C810F8">
              <w:rPr>
                <w:bCs/>
              </w:rPr>
              <w:t>Návrh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12E5" w:rsidRPr="00C810F8" w:rsidRDefault="00E812E5" w:rsidP="009417E1">
            <w:pPr>
              <w:spacing w:after="0"/>
              <w:jc w:val="both"/>
              <w:rPr>
                <w:bCs/>
              </w:rPr>
            </w:pPr>
            <w:r w:rsidRPr="00C810F8">
              <w:rPr>
                <w:bCs/>
              </w:rPr>
              <w:t>3</w:t>
            </w:r>
            <w:r>
              <w:rPr>
                <w:bCs/>
              </w:rPr>
              <w:t>51</w:t>
            </w:r>
          </w:p>
        </w:tc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12E5" w:rsidRPr="00C810F8" w:rsidRDefault="00E812E5" w:rsidP="009417E1">
            <w:pPr>
              <w:spacing w:after="0"/>
              <w:jc w:val="both"/>
              <w:rPr>
                <w:bCs/>
              </w:rPr>
            </w:pPr>
            <w:r>
              <w:rPr>
                <w:bCs/>
              </w:rPr>
              <w:t>3 510</w:t>
            </w:r>
          </w:p>
        </w:tc>
      </w:tr>
    </w:tbl>
    <w:bookmarkEnd w:id="4"/>
    <w:p w:rsidR="00153686" w:rsidRPr="00153686" w:rsidRDefault="00153686" w:rsidP="008F0641">
      <w:pPr>
        <w:spacing w:before="120"/>
        <w:jc w:val="both"/>
        <w:rPr>
          <w:i/>
          <w:iCs/>
          <w:color w:val="0070C0"/>
        </w:rPr>
      </w:pPr>
      <w:r w:rsidRPr="00153686">
        <w:rPr>
          <w:i/>
          <w:iCs/>
          <w:color w:val="0070C0"/>
        </w:rPr>
        <w:t xml:space="preserve">Vzorový výkres je v části </w:t>
      </w:r>
      <w:proofErr w:type="gramStart"/>
      <w:r w:rsidRPr="00153686">
        <w:rPr>
          <w:i/>
          <w:iCs/>
          <w:color w:val="0070C0"/>
        </w:rPr>
        <w:t>6-vzorové</w:t>
      </w:r>
      <w:proofErr w:type="gramEnd"/>
      <w:r w:rsidRPr="00153686">
        <w:rPr>
          <w:i/>
          <w:iCs/>
          <w:color w:val="0070C0"/>
        </w:rPr>
        <w:t xml:space="preserve"> výkresy - </w:t>
      </w:r>
      <w:r>
        <w:rPr>
          <w:i/>
          <w:iCs/>
          <w:color w:val="0070C0"/>
        </w:rPr>
        <w:t>PRŮLEH</w:t>
      </w:r>
    </w:p>
    <w:p w:rsidR="00A33BED" w:rsidRDefault="00A33BED" w:rsidP="00A33BED">
      <w:pPr>
        <w:pStyle w:val="Nadpis2"/>
        <w:jc w:val="both"/>
      </w:pPr>
      <w:r>
        <w:t>SO 01.6 – Protierozní zatravnění</w:t>
      </w:r>
    </w:p>
    <w:p w:rsidR="00A33BED" w:rsidRPr="00882A42" w:rsidRDefault="00A33BED" w:rsidP="00A33BED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A33BED" w:rsidRPr="00E812E5" w:rsidRDefault="00E812E5" w:rsidP="00A33BED">
      <w:pPr>
        <w:jc w:val="both"/>
      </w:pPr>
      <w:r>
        <w:t xml:space="preserve">Zatravnění části orné půdy, kde se dle BPEJ vyskytuje příliš mělká půda (hloubka </w:t>
      </w:r>
      <w:proofErr w:type="gramStart"/>
      <w:r>
        <w:rPr>
          <w:lang w:val="en-US"/>
        </w:rPr>
        <w:t>&lt;</w:t>
      </w:r>
      <w:r>
        <w:t xml:space="preserve"> 30</w:t>
      </w:r>
      <w:proofErr w:type="gramEnd"/>
      <w:r>
        <w:t xml:space="preserve"> cm), kterou je dle metodiky nutné zatravnit.</w:t>
      </w:r>
    </w:p>
    <w:p w:rsidR="00A33BED" w:rsidRDefault="00A33BED" w:rsidP="00A33BED">
      <w:pPr>
        <w:pStyle w:val="Nadpis2"/>
        <w:jc w:val="both"/>
      </w:pPr>
      <w:r>
        <w:t>SO 01.7 – Obnovení cesty</w:t>
      </w:r>
    </w:p>
    <w:p w:rsidR="00A33BED" w:rsidRPr="00882A42" w:rsidRDefault="00A33BED" w:rsidP="00A33BED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A33BED" w:rsidRDefault="00C43DBF" w:rsidP="00A33BED">
      <w:pPr>
        <w:jc w:val="both"/>
      </w:pPr>
      <w:r>
        <w:t>Stávající cesta vedoucí z místní komunikace v současnosti končí v místě navrhovaného opatření SO 01.</w:t>
      </w:r>
      <w:proofErr w:type="gramStart"/>
      <w:r>
        <w:t>3a</w:t>
      </w:r>
      <w:proofErr w:type="gramEnd"/>
      <w:r>
        <w:t xml:space="preserve"> a dále je zarostlá a nepoužívaná. Jsou zde patrné vzrostlé staré stromy, které jsou krajinářsky hodnotné. Cestu by bylo vhodné obnovit, a propojit ji s cestou vedoucí kolem lesního porostu zvaném Remízek. </w:t>
      </w:r>
    </w:p>
    <w:p w:rsidR="00A33BED" w:rsidRDefault="00A33BED" w:rsidP="00A33BED">
      <w:pPr>
        <w:pStyle w:val="Nadpis2"/>
        <w:jc w:val="both"/>
      </w:pPr>
      <w:r>
        <w:t>SO 01.8 – Retenční hrázka</w:t>
      </w:r>
    </w:p>
    <w:p w:rsidR="00A33BED" w:rsidRPr="00882A42" w:rsidRDefault="00A33BED" w:rsidP="00A33BED">
      <w:pPr>
        <w:keepNext/>
        <w:jc w:val="both"/>
        <w:rPr>
          <w:u w:val="single"/>
        </w:rPr>
      </w:pPr>
      <w:bookmarkStart w:id="5" w:name="_Hlk22823510"/>
      <w:r w:rsidRPr="00882A42">
        <w:rPr>
          <w:u w:val="single"/>
        </w:rPr>
        <w:t>Popis a základní parametry opatření</w:t>
      </w:r>
    </w:p>
    <w:p w:rsidR="00C43DBF" w:rsidRPr="00C43DBF" w:rsidRDefault="00556147" w:rsidP="00C43DBF">
      <w:pPr>
        <w:jc w:val="both"/>
        <w:rPr>
          <w:bCs/>
          <w:iCs/>
        </w:rPr>
      </w:pPr>
      <w:r>
        <w:rPr>
          <w:bCs/>
          <w:iCs/>
        </w:rPr>
        <w:t>Hrázka je navržena na okraji orné půdy, kde se koncentruje povrchový odtok.</w:t>
      </w:r>
      <w:r w:rsidR="00C43DBF" w:rsidRPr="00C43DBF">
        <w:rPr>
          <w:bCs/>
          <w:iCs/>
        </w:rPr>
        <w:t xml:space="preserve"> </w:t>
      </w:r>
      <w:r>
        <w:rPr>
          <w:bCs/>
          <w:iCs/>
        </w:rPr>
        <w:t xml:space="preserve">Jedná se o 1 m vysokou hrázku o sklonech 1:3 na návodním a 1:2 na vzdušním líci. V horní části hráze bude umístěn zpevněný bezpečnostní přeliv, který bude převádět </w:t>
      </w:r>
      <w:r w:rsidR="00A227D6">
        <w:rPr>
          <w:bCs/>
          <w:iCs/>
        </w:rPr>
        <w:t xml:space="preserve">objem vody nad rámec kapacity opatření. Hrázka je navržena jako bezodtoká (bez výpustného objektu), vznikne tak víceúčelové opatření, které bude kombinovat </w:t>
      </w:r>
      <w:r w:rsidR="00E275D8">
        <w:rPr>
          <w:bCs/>
          <w:iCs/>
        </w:rPr>
        <w:t xml:space="preserve">jak </w:t>
      </w:r>
      <w:r w:rsidR="00A227D6">
        <w:rPr>
          <w:bCs/>
          <w:iCs/>
        </w:rPr>
        <w:t xml:space="preserve">protipovodňovou </w:t>
      </w:r>
      <w:proofErr w:type="gramStart"/>
      <w:r w:rsidR="00A227D6">
        <w:rPr>
          <w:bCs/>
          <w:iCs/>
        </w:rPr>
        <w:t>funkci</w:t>
      </w:r>
      <w:proofErr w:type="gramEnd"/>
      <w:r w:rsidR="00A227D6">
        <w:rPr>
          <w:bCs/>
          <w:iCs/>
        </w:rPr>
        <w:t xml:space="preserve"> tak retenční. Hrázka bude zadržovat povrchový odtok, sníží tak povodňové průtoky a zároveň bude pomáhat v akumulaci vody v krajině, aby nedocházelo k příliš rychlému odtoku vody z území. Plochu zátopy by bylo vhodné zatravnit.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37"/>
        <w:gridCol w:w="1537"/>
        <w:gridCol w:w="1535"/>
        <w:gridCol w:w="1535"/>
        <w:gridCol w:w="1535"/>
        <w:gridCol w:w="1533"/>
      </w:tblGrid>
      <w:tr w:rsidR="00C43DBF" w:rsidRPr="00C43DBF" w:rsidTr="005B30B5">
        <w:trPr>
          <w:trHeight w:val="599"/>
          <w:tblHeader/>
          <w:jc w:val="center"/>
        </w:trPr>
        <w:tc>
          <w:tcPr>
            <w:tcW w:w="834" w:type="pct"/>
            <w:shd w:val="clear" w:color="auto" w:fill="BFBFBF" w:themeFill="background1" w:themeFillShade="BF"/>
            <w:noWrap/>
            <w:vAlign w:val="center"/>
          </w:tcPr>
          <w:p w:rsidR="00C43DBF" w:rsidRPr="00C43DBF" w:rsidRDefault="00C43DBF" w:rsidP="002C631E">
            <w:pPr>
              <w:spacing w:after="0"/>
              <w:jc w:val="both"/>
              <w:rPr>
                <w:b/>
                <w:bCs/>
                <w:iCs/>
              </w:rPr>
            </w:pPr>
            <w:r w:rsidRPr="00C43DBF">
              <w:rPr>
                <w:b/>
                <w:bCs/>
                <w:iCs/>
              </w:rPr>
              <w:t>ID</w:t>
            </w:r>
          </w:p>
          <w:p w:rsidR="00C43DBF" w:rsidRPr="00C43DBF" w:rsidRDefault="00C43DBF" w:rsidP="002C631E">
            <w:pPr>
              <w:spacing w:after="0"/>
              <w:jc w:val="both"/>
              <w:rPr>
                <w:b/>
                <w:bCs/>
                <w:iCs/>
              </w:rPr>
            </w:pPr>
            <w:r w:rsidRPr="00C43DBF">
              <w:rPr>
                <w:b/>
                <w:bCs/>
                <w:iCs/>
              </w:rPr>
              <w:t>opatření</w:t>
            </w:r>
          </w:p>
        </w:tc>
        <w:tc>
          <w:tcPr>
            <w:tcW w:w="834" w:type="pct"/>
            <w:shd w:val="clear" w:color="auto" w:fill="BFBFBF" w:themeFill="background1" w:themeFillShade="BF"/>
            <w:vAlign w:val="center"/>
          </w:tcPr>
          <w:p w:rsidR="00C43DBF" w:rsidRPr="00C43DBF" w:rsidRDefault="00C43DBF" w:rsidP="002C631E">
            <w:pPr>
              <w:spacing w:after="0"/>
              <w:jc w:val="both"/>
              <w:rPr>
                <w:b/>
                <w:bCs/>
                <w:iCs/>
              </w:rPr>
            </w:pPr>
            <w:r w:rsidRPr="00C43DBF">
              <w:rPr>
                <w:b/>
                <w:bCs/>
                <w:iCs/>
              </w:rPr>
              <w:t>Typ</w:t>
            </w:r>
          </w:p>
          <w:p w:rsidR="00C43DBF" w:rsidRPr="00C43DBF" w:rsidRDefault="00C43DBF" w:rsidP="002C631E">
            <w:pPr>
              <w:spacing w:after="0"/>
              <w:jc w:val="both"/>
              <w:rPr>
                <w:b/>
                <w:bCs/>
                <w:iCs/>
              </w:rPr>
            </w:pPr>
            <w:r w:rsidRPr="00C43DBF">
              <w:rPr>
                <w:b/>
                <w:bCs/>
                <w:iCs/>
              </w:rPr>
              <w:t>opatření</w:t>
            </w:r>
          </w:p>
        </w:tc>
        <w:tc>
          <w:tcPr>
            <w:tcW w:w="833" w:type="pct"/>
            <w:shd w:val="clear" w:color="auto" w:fill="BFBFBF" w:themeFill="background1" w:themeFillShade="BF"/>
            <w:vAlign w:val="center"/>
          </w:tcPr>
          <w:p w:rsidR="00C43DBF" w:rsidRPr="00C43DBF" w:rsidRDefault="00C43DBF" w:rsidP="002C631E">
            <w:pPr>
              <w:spacing w:after="0"/>
              <w:jc w:val="both"/>
              <w:rPr>
                <w:b/>
                <w:bCs/>
                <w:iCs/>
              </w:rPr>
            </w:pPr>
            <w:r w:rsidRPr="00C43DBF">
              <w:rPr>
                <w:b/>
                <w:bCs/>
                <w:iCs/>
              </w:rPr>
              <w:t>Stav</w:t>
            </w:r>
          </w:p>
          <w:p w:rsidR="00C43DBF" w:rsidRPr="00C43DBF" w:rsidRDefault="00C43DBF" w:rsidP="002C631E">
            <w:pPr>
              <w:spacing w:after="0"/>
              <w:jc w:val="both"/>
              <w:rPr>
                <w:b/>
                <w:bCs/>
                <w:iCs/>
              </w:rPr>
            </w:pPr>
            <w:r w:rsidRPr="00C43DBF">
              <w:rPr>
                <w:b/>
                <w:bCs/>
                <w:iCs/>
              </w:rPr>
              <w:t>objektu</w:t>
            </w:r>
          </w:p>
        </w:tc>
        <w:tc>
          <w:tcPr>
            <w:tcW w:w="833" w:type="pct"/>
            <w:shd w:val="clear" w:color="auto" w:fill="BFBFBF" w:themeFill="background1" w:themeFillShade="BF"/>
            <w:vAlign w:val="center"/>
          </w:tcPr>
          <w:p w:rsidR="00C43DBF" w:rsidRPr="00C43DBF" w:rsidRDefault="00C43DBF" w:rsidP="002C631E">
            <w:pPr>
              <w:spacing w:after="0"/>
              <w:jc w:val="both"/>
              <w:rPr>
                <w:b/>
                <w:bCs/>
                <w:iCs/>
              </w:rPr>
            </w:pPr>
            <w:r w:rsidRPr="00C43DBF">
              <w:rPr>
                <w:b/>
                <w:bCs/>
                <w:iCs/>
              </w:rPr>
              <w:t>Max. plocha</w:t>
            </w:r>
          </w:p>
          <w:p w:rsidR="00C43DBF" w:rsidRPr="00C43DBF" w:rsidRDefault="00C43DBF" w:rsidP="002C631E">
            <w:pPr>
              <w:spacing w:after="0"/>
              <w:jc w:val="both"/>
              <w:rPr>
                <w:b/>
                <w:bCs/>
                <w:iCs/>
              </w:rPr>
            </w:pPr>
            <w:r w:rsidRPr="00C43DBF">
              <w:rPr>
                <w:b/>
                <w:bCs/>
                <w:iCs/>
              </w:rPr>
              <w:t>[m</w:t>
            </w:r>
            <w:r w:rsidRPr="00C43DBF">
              <w:rPr>
                <w:b/>
                <w:bCs/>
                <w:iCs/>
                <w:vertAlign w:val="superscript"/>
              </w:rPr>
              <w:t>2</w:t>
            </w:r>
            <w:r w:rsidRPr="00C43DBF">
              <w:rPr>
                <w:b/>
                <w:bCs/>
                <w:iCs/>
              </w:rPr>
              <w:t>]</w:t>
            </w:r>
          </w:p>
        </w:tc>
        <w:tc>
          <w:tcPr>
            <w:tcW w:w="833" w:type="pct"/>
            <w:shd w:val="clear" w:color="auto" w:fill="BFBFBF" w:themeFill="background1" w:themeFillShade="BF"/>
            <w:vAlign w:val="center"/>
          </w:tcPr>
          <w:p w:rsidR="00C43DBF" w:rsidRPr="00C43DBF" w:rsidRDefault="00C43DBF" w:rsidP="002C631E">
            <w:pPr>
              <w:spacing w:after="0"/>
              <w:jc w:val="both"/>
              <w:rPr>
                <w:b/>
                <w:bCs/>
                <w:iCs/>
              </w:rPr>
            </w:pPr>
            <w:r w:rsidRPr="00C43DBF">
              <w:rPr>
                <w:b/>
                <w:bCs/>
                <w:iCs/>
              </w:rPr>
              <w:t>Max. objem</w:t>
            </w:r>
          </w:p>
          <w:p w:rsidR="00C43DBF" w:rsidRPr="00C43DBF" w:rsidRDefault="00C43DBF" w:rsidP="002C631E">
            <w:pPr>
              <w:spacing w:after="0"/>
              <w:jc w:val="both"/>
              <w:rPr>
                <w:b/>
                <w:bCs/>
                <w:iCs/>
              </w:rPr>
            </w:pPr>
            <w:r w:rsidRPr="00C43DBF">
              <w:rPr>
                <w:b/>
                <w:bCs/>
                <w:iCs/>
              </w:rPr>
              <w:t>[m</w:t>
            </w:r>
            <w:r w:rsidRPr="00C43DBF">
              <w:rPr>
                <w:b/>
                <w:bCs/>
                <w:iCs/>
                <w:vertAlign w:val="superscript"/>
              </w:rPr>
              <w:t>3</w:t>
            </w:r>
            <w:r w:rsidRPr="00C43DBF">
              <w:rPr>
                <w:b/>
                <w:bCs/>
                <w:iCs/>
              </w:rPr>
              <w:t>]</w:t>
            </w:r>
          </w:p>
        </w:tc>
        <w:tc>
          <w:tcPr>
            <w:tcW w:w="832" w:type="pct"/>
            <w:shd w:val="clear" w:color="auto" w:fill="BFBFBF" w:themeFill="background1" w:themeFillShade="BF"/>
            <w:vAlign w:val="center"/>
          </w:tcPr>
          <w:p w:rsidR="00C43DBF" w:rsidRPr="00C43DBF" w:rsidRDefault="00C43DBF" w:rsidP="002C631E">
            <w:pPr>
              <w:spacing w:after="0"/>
              <w:jc w:val="both"/>
              <w:rPr>
                <w:b/>
                <w:bCs/>
                <w:iCs/>
              </w:rPr>
            </w:pPr>
            <w:r w:rsidRPr="00C43DBF">
              <w:rPr>
                <w:b/>
                <w:bCs/>
                <w:iCs/>
              </w:rPr>
              <w:t>Výška hráze</w:t>
            </w:r>
          </w:p>
          <w:p w:rsidR="00C43DBF" w:rsidRPr="00C43DBF" w:rsidRDefault="00C43DBF" w:rsidP="002C631E">
            <w:pPr>
              <w:spacing w:after="0"/>
              <w:jc w:val="both"/>
              <w:rPr>
                <w:b/>
                <w:bCs/>
                <w:iCs/>
              </w:rPr>
            </w:pPr>
            <w:r w:rsidRPr="00C43DBF">
              <w:rPr>
                <w:b/>
                <w:bCs/>
                <w:iCs/>
              </w:rPr>
              <w:t>[m]</w:t>
            </w:r>
          </w:p>
        </w:tc>
      </w:tr>
      <w:tr w:rsidR="00C43DBF" w:rsidRPr="00C43DBF" w:rsidTr="005B30B5">
        <w:trPr>
          <w:trHeight w:val="300"/>
          <w:jc w:val="center"/>
        </w:trPr>
        <w:tc>
          <w:tcPr>
            <w:tcW w:w="834" w:type="pct"/>
            <w:shd w:val="clear" w:color="auto" w:fill="auto"/>
            <w:noWrap/>
            <w:vAlign w:val="center"/>
          </w:tcPr>
          <w:p w:rsidR="00C43DBF" w:rsidRPr="00C43DBF" w:rsidRDefault="00C43DBF" w:rsidP="002C631E">
            <w:pPr>
              <w:spacing w:after="0"/>
              <w:jc w:val="both"/>
              <w:rPr>
                <w:bCs/>
                <w:iCs/>
              </w:rPr>
            </w:pPr>
            <w:r w:rsidRPr="00C43DBF">
              <w:rPr>
                <w:bCs/>
                <w:iCs/>
              </w:rPr>
              <w:t>SO 01.</w:t>
            </w:r>
            <w:r>
              <w:rPr>
                <w:bCs/>
                <w:iCs/>
              </w:rPr>
              <w:t>8</w:t>
            </w:r>
          </w:p>
        </w:tc>
        <w:tc>
          <w:tcPr>
            <w:tcW w:w="834" w:type="pct"/>
            <w:vAlign w:val="center"/>
          </w:tcPr>
          <w:p w:rsidR="00C43DBF" w:rsidRPr="00C43DBF" w:rsidRDefault="00C43DBF" w:rsidP="002C631E">
            <w:pPr>
              <w:spacing w:after="0"/>
              <w:jc w:val="both"/>
              <w:rPr>
                <w:bCs/>
                <w:iCs/>
              </w:rPr>
            </w:pPr>
            <w:r>
              <w:rPr>
                <w:bCs/>
                <w:iCs/>
              </w:rPr>
              <w:t>Hrázka</w:t>
            </w:r>
          </w:p>
        </w:tc>
        <w:tc>
          <w:tcPr>
            <w:tcW w:w="833" w:type="pct"/>
            <w:vAlign w:val="center"/>
          </w:tcPr>
          <w:p w:rsidR="00C43DBF" w:rsidRPr="00C43DBF" w:rsidRDefault="00C43DBF" w:rsidP="002C631E">
            <w:pPr>
              <w:spacing w:after="0"/>
              <w:jc w:val="both"/>
              <w:rPr>
                <w:bCs/>
                <w:iCs/>
              </w:rPr>
            </w:pPr>
            <w:r w:rsidRPr="00C43DBF">
              <w:rPr>
                <w:bCs/>
                <w:iCs/>
              </w:rPr>
              <w:t>Návrh</w:t>
            </w:r>
          </w:p>
        </w:tc>
        <w:tc>
          <w:tcPr>
            <w:tcW w:w="833" w:type="pct"/>
            <w:vAlign w:val="center"/>
          </w:tcPr>
          <w:p w:rsidR="00C43DBF" w:rsidRPr="00E57E16" w:rsidRDefault="00325170" w:rsidP="002C631E">
            <w:pPr>
              <w:spacing w:after="0"/>
              <w:jc w:val="both"/>
              <w:rPr>
                <w:bCs/>
                <w:iCs/>
              </w:rPr>
            </w:pPr>
            <w:r>
              <w:rPr>
                <w:bCs/>
                <w:iCs/>
              </w:rPr>
              <w:t>12421</w:t>
            </w:r>
          </w:p>
        </w:tc>
        <w:tc>
          <w:tcPr>
            <w:tcW w:w="833" w:type="pct"/>
            <w:vAlign w:val="center"/>
          </w:tcPr>
          <w:p w:rsidR="00C43DBF" w:rsidRPr="00E57E16" w:rsidRDefault="00325170" w:rsidP="002C631E">
            <w:pPr>
              <w:spacing w:after="0"/>
              <w:jc w:val="both"/>
              <w:rPr>
                <w:bCs/>
                <w:iCs/>
              </w:rPr>
            </w:pPr>
            <w:r>
              <w:rPr>
                <w:bCs/>
                <w:iCs/>
              </w:rPr>
              <w:t>12421</w:t>
            </w:r>
          </w:p>
        </w:tc>
        <w:tc>
          <w:tcPr>
            <w:tcW w:w="832" w:type="pct"/>
            <w:vAlign w:val="center"/>
          </w:tcPr>
          <w:p w:rsidR="00C43DBF" w:rsidRPr="00C43DBF" w:rsidRDefault="00C43DBF" w:rsidP="002C631E">
            <w:pPr>
              <w:spacing w:after="0"/>
              <w:jc w:val="both"/>
              <w:rPr>
                <w:bCs/>
                <w:iCs/>
              </w:rPr>
            </w:pPr>
            <w:r w:rsidRPr="00C43DBF">
              <w:rPr>
                <w:bCs/>
                <w:iCs/>
              </w:rPr>
              <w:t>1</w:t>
            </w:r>
          </w:p>
        </w:tc>
      </w:tr>
    </w:tbl>
    <w:bookmarkEnd w:id="5"/>
    <w:p w:rsidR="00C43DBF" w:rsidRPr="00043269" w:rsidRDefault="00043269" w:rsidP="008F0641">
      <w:pPr>
        <w:spacing w:before="120"/>
        <w:jc w:val="both"/>
        <w:rPr>
          <w:i/>
          <w:iCs/>
          <w:color w:val="0070C0"/>
        </w:rPr>
      </w:pPr>
      <w:r w:rsidRPr="00043269">
        <w:rPr>
          <w:i/>
          <w:iCs/>
          <w:color w:val="0070C0"/>
        </w:rPr>
        <w:t xml:space="preserve">Vzorový výkres je v části </w:t>
      </w:r>
      <w:proofErr w:type="gramStart"/>
      <w:r w:rsidRPr="00043269">
        <w:rPr>
          <w:i/>
          <w:iCs/>
          <w:color w:val="0070C0"/>
        </w:rPr>
        <w:t>6-vzorové</w:t>
      </w:r>
      <w:proofErr w:type="gramEnd"/>
      <w:r w:rsidRPr="00043269">
        <w:rPr>
          <w:i/>
          <w:iCs/>
          <w:color w:val="0070C0"/>
        </w:rPr>
        <w:t xml:space="preserve"> výkresy – RETENČNÍ_TŮŇ</w:t>
      </w:r>
    </w:p>
    <w:p w:rsidR="00A33BED" w:rsidRDefault="00A33BED" w:rsidP="00A33BED">
      <w:pPr>
        <w:pStyle w:val="Nadpis2"/>
        <w:jc w:val="both"/>
      </w:pPr>
      <w:r>
        <w:t>SO 01.9 – Polní cesta</w:t>
      </w:r>
    </w:p>
    <w:p w:rsidR="00A33BED" w:rsidRPr="00882A42" w:rsidRDefault="00A33BED" w:rsidP="00A33BED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8F0641" w:rsidRDefault="00A227D6" w:rsidP="00A33BED">
      <w:pPr>
        <w:jc w:val="both"/>
      </w:pPr>
      <w:r>
        <w:t>Polní cesta navržená v trase historické cesty, která je stále patrná na katastrálních mapách. Cesta bude rozdělovat rozsáhlé pozemky orné půdy</w:t>
      </w:r>
      <w:r w:rsidR="00EE1C30">
        <w:t>, zvýší prostupnost krajiny a přispěje tak ke zlepšení krajinného rázu. V první části je cesta vedena přes ornou půdu, dále po křižovatce s cestou SO 01.10 vede v trase stávající zarostlé cesty, kterou na konci propojuje s cestou vedenou po hranici zájmového území.</w:t>
      </w:r>
      <w:r w:rsidR="00717077">
        <w:t xml:space="preserve"> Cesta by měla být doplněna doprovodnou vegetací.</w:t>
      </w:r>
    </w:p>
    <w:p w:rsidR="008F0641" w:rsidRDefault="008F0641">
      <w:r>
        <w:br w:type="page"/>
      </w:r>
    </w:p>
    <w:p w:rsidR="00A33BED" w:rsidRDefault="00A33BED" w:rsidP="00A33BED">
      <w:pPr>
        <w:pStyle w:val="Nadpis2"/>
        <w:jc w:val="both"/>
      </w:pPr>
      <w:r>
        <w:lastRenderedPageBreak/>
        <w:t>SO 01.10 – Polní cesta</w:t>
      </w:r>
    </w:p>
    <w:p w:rsidR="00A33BED" w:rsidRPr="00882A42" w:rsidRDefault="00A33BED" w:rsidP="00A33BED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A33BED" w:rsidRDefault="001819DA" w:rsidP="00A33BED">
      <w:pPr>
        <w:jc w:val="both"/>
      </w:pPr>
      <w:bookmarkStart w:id="6" w:name="_Hlk22824777"/>
      <w:r w:rsidRPr="001819DA">
        <w:t xml:space="preserve">Polní cesta navržená v trase historické cesty, která je stále patrná na katastrálních mapách. </w:t>
      </w:r>
      <w:r>
        <w:t xml:space="preserve">Cesta povede ze silnice III/02032 přes zemědělské pozemky a bude se napojovat na cestu SO 01.9. </w:t>
      </w:r>
      <w:r w:rsidRPr="001819DA">
        <w:t xml:space="preserve">Cesta bude rozdělovat rozsáhlé pozemky orné půdy, zvýší prostupnost krajiny a přispěje tak ke zlepšení krajinného rázu. </w:t>
      </w:r>
      <w:r w:rsidR="00717077" w:rsidRPr="00717077">
        <w:t>Cesta by měla být doplněna doprovodnou vegetací.</w:t>
      </w:r>
    </w:p>
    <w:bookmarkEnd w:id="6"/>
    <w:p w:rsidR="001042CD" w:rsidRPr="007526F1" w:rsidRDefault="001042CD" w:rsidP="001042CD">
      <w:pPr>
        <w:keepNext/>
        <w:keepLines/>
        <w:shd w:val="clear" w:color="auto" w:fill="C5E0B3" w:themeFill="accent6" w:themeFillTint="66"/>
        <w:spacing w:before="240" w:after="0"/>
        <w:jc w:val="both"/>
        <w:outlineLvl w:val="0"/>
        <w:rPr>
          <w:rFonts w:eastAsiaTheme="majorEastAsia" w:cstheme="majorBidi"/>
          <w:b/>
          <w:smallCaps/>
          <w:sz w:val="28"/>
          <w:szCs w:val="32"/>
        </w:rPr>
      </w:pPr>
      <w:r w:rsidRPr="007526F1">
        <w:rPr>
          <w:rFonts w:eastAsiaTheme="majorEastAsia" w:cstheme="majorBidi"/>
          <w:b/>
          <w:smallCaps/>
          <w:sz w:val="28"/>
          <w:szCs w:val="32"/>
        </w:rPr>
        <w:t>Posouzení efektivity opatření</w:t>
      </w:r>
    </w:p>
    <w:p w:rsidR="001042CD" w:rsidRPr="007526F1" w:rsidRDefault="001042CD" w:rsidP="001042CD">
      <w:pPr>
        <w:keepNext/>
        <w:keepLines/>
        <w:pBdr>
          <w:top w:val="single" w:sz="4" w:space="1" w:color="A8D08D" w:themeColor="accent6" w:themeTint="99"/>
          <w:left w:val="single" w:sz="4" w:space="4" w:color="A8D08D" w:themeColor="accent6" w:themeTint="99"/>
          <w:bottom w:val="single" w:sz="4" w:space="1" w:color="A8D08D" w:themeColor="accent6" w:themeTint="99"/>
          <w:right w:val="single" w:sz="4" w:space="4" w:color="A8D08D" w:themeColor="accent6" w:themeTint="99"/>
        </w:pBdr>
        <w:spacing w:before="40" w:after="0"/>
        <w:jc w:val="both"/>
        <w:outlineLvl w:val="1"/>
        <w:rPr>
          <w:rFonts w:asciiTheme="majorHAnsi" w:eastAsiaTheme="majorEastAsia" w:hAnsiTheme="majorHAnsi" w:cstheme="majorBidi"/>
          <w:b/>
          <w:sz w:val="26"/>
          <w:szCs w:val="26"/>
        </w:rPr>
      </w:pPr>
      <w:r w:rsidRPr="007526F1">
        <w:rPr>
          <w:rFonts w:asciiTheme="majorHAnsi" w:eastAsiaTheme="majorEastAsia" w:hAnsiTheme="majorHAnsi" w:cstheme="majorBidi"/>
          <w:b/>
          <w:sz w:val="26"/>
          <w:szCs w:val="26"/>
        </w:rPr>
        <w:t>SO 0</w:t>
      </w:r>
      <w:r>
        <w:rPr>
          <w:rFonts w:asciiTheme="majorHAnsi" w:eastAsiaTheme="majorEastAsia" w:hAnsiTheme="majorHAnsi" w:cstheme="majorBidi"/>
          <w:b/>
          <w:sz w:val="26"/>
          <w:szCs w:val="26"/>
        </w:rPr>
        <w:t>1</w:t>
      </w:r>
      <w:r w:rsidRPr="007526F1">
        <w:rPr>
          <w:rFonts w:asciiTheme="majorHAnsi" w:eastAsiaTheme="majorEastAsia" w:hAnsiTheme="majorHAnsi" w:cstheme="majorBidi"/>
          <w:b/>
          <w:sz w:val="26"/>
          <w:szCs w:val="26"/>
        </w:rPr>
        <w:t>.</w:t>
      </w:r>
      <w:r>
        <w:rPr>
          <w:rFonts w:asciiTheme="majorHAnsi" w:eastAsiaTheme="majorEastAsia" w:hAnsiTheme="majorHAnsi" w:cstheme="majorBidi"/>
          <w:b/>
          <w:sz w:val="26"/>
          <w:szCs w:val="26"/>
        </w:rPr>
        <w:t>1</w:t>
      </w:r>
      <w:r w:rsidRPr="007526F1">
        <w:rPr>
          <w:rFonts w:asciiTheme="majorHAnsi" w:eastAsiaTheme="majorEastAsia" w:hAnsiTheme="majorHAnsi" w:cstheme="majorBidi"/>
          <w:b/>
          <w:sz w:val="26"/>
          <w:szCs w:val="26"/>
        </w:rPr>
        <w:t xml:space="preserve"> – </w:t>
      </w:r>
      <w:r>
        <w:rPr>
          <w:rFonts w:asciiTheme="majorHAnsi" w:eastAsiaTheme="majorEastAsia" w:hAnsiTheme="majorHAnsi" w:cstheme="majorBidi"/>
          <w:b/>
          <w:sz w:val="26"/>
          <w:szCs w:val="26"/>
        </w:rPr>
        <w:t xml:space="preserve">Dimenze </w:t>
      </w:r>
      <w:r w:rsidR="007D325D">
        <w:rPr>
          <w:rFonts w:asciiTheme="majorHAnsi" w:eastAsiaTheme="majorEastAsia" w:hAnsiTheme="majorHAnsi" w:cstheme="majorBidi"/>
          <w:b/>
          <w:sz w:val="26"/>
          <w:szCs w:val="26"/>
        </w:rPr>
        <w:t>sdruženého objektu</w:t>
      </w:r>
      <w:r>
        <w:rPr>
          <w:rFonts w:asciiTheme="majorHAnsi" w:eastAsiaTheme="majorEastAsia" w:hAnsiTheme="majorHAnsi" w:cstheme="majorBidi"/>
          <w:b/>
          <w:sz w:val="26"/>
          <w:szCs w:val="26"/>
        </w:rPr>
        <w:t xml:space="preserve"> vodní nádrž</w:t>
      </w:r>
      <w:r w:rsidR="007D325D">
        <w:rPr>
          <w:rFonts w:asciiTheme="majorHAnsi" w:eastAsiaTheme="majorEastAsia" w:hAnsiTheme="majorHAnsi" w:cstheme="majorBidi"/>
          <w:b/>
          <w:sz w:val="26"/>
          <w:szCs w:val="26"/>
        </w:rPr>
        <w:t>e</w:t>
      </w:r>
    </w:p>
    <w:p w:rsidR="001042CD" w:rsidRPr="007526F1" w:rsidRDefault="001042CD" w:rsidP="001042CD">
      <w:pPr>
        <w:jc w:val="both"/>
      </w:pPr>
      <w:r w:rsidRPr="007526F1">
        <w:t xml:space="preserve">Posouzena je průtočná kapacita </w:t>
      </w:r>
      <w:r>
        <w:t>odpadní roury bezpečnostního přelivu.</w:t>
      </w:r>
    </w:p>
    <w:p w:rsidR="001042CD" w:rsidRPr="007526F1" w:rsidRDefault="001042CD" w:rsidP="001042CD">
      <w:pPr>
        <w:jc w:val="both"/>
      </w:pPr>
      <w:r w:rsidRPr="007526F1">
        <w:t>Návrhový průtok vypočtený srážkoodtokovým modelem jako odezva na srážku s dobou opakování 20</w:t>
      </w:r>
      <w:r>
        <w:t> </w:t>
      </w:r>
      <w:r w:rsidRPr="007526F1">
        <w:t>let, Q</w:t>
      </w:r>
      <w:r w:rsidRPr="007526F1">
        <w:rPr>
          <w:vertAlign w:val="subscript"/>
        </w:rPr>
        <w:t>20</w:t>
      </w:r>
      <w:r w:rsidRPr="007526F1">
        <w:t xml:space="preserve">= </w:t>
      </w:r>
      <w:r>
        <w:t>2,</w:t>
      </w:r>
      <w:r w:rsidRPr="007526F1">
        <w:t>3 m</w:t>
      </w:r>
      <w:r w:rsidRPr="007526F1">
        <w:rPr>
          <w:vertAlign w:val="superscript"/>
        </w:rPr>
        <w:t>3</w:t>
      </w:r>
      <w:r w:rsidRPr="007526F1">
        <w:t>/s.</w:t>
      </w:r>
    </w:p>
    <w:p w:rsidR="001042CD" w:rsidRDefault="001042CD" w:rsidP="001042CD">
      <w:pPr>
        <w:jc w:val="both"/>
      </w:pPr>
      <w:r>
        <w:t>Odpadní šachta by měla kapacitu</w:t>
      </w:r>
      <w:r w:rsidRPr="007526F1">
        <w:t xml:space="preserve"> </w:t>
      </w:r>
      <w:r>
        <w:t>dvou potrubí umístěných vedle sebe o dimenzi 2x</w:t>
      </w:r>
      <w:r w:rsidRPr="007526F1">
        <w:t>DN</w:t>
      </w:r>
      <w:r>
        <w:t>10</w:t>
      </w:r>
      <w:r w:rsidRPr="007526F1">
        <w:t>00</w:t>
      </w:r>
      <w:r>
        <w:t>.</w:t>
      </w:r>
      <w:r w:rsidRPr="007526F1">
        <w:t xml:space="preserve"> </w:t>
      </w:r>
      <w:r>
        <w:t>P</w:t>
      </w:r>
      <w:r w:rsidRPr="007526F1">
        <w:t xml:space="preserve">ři sklonu </w:t>
      </w:r>
      <w:r>
        <w:t>2</w:t>
      </w:r>
      <w:r w:rsidRPr="007526F1">
        <w:t>0</w:t>
      </w:r>
      <w:r w:rsidRPr="007526F1">
        <w:rPr>
          <w:b/>
          <w:bCs/>
        </w:rPr>
        <w:t>‰</w:t>
      </w:r>
      <w:r w:rsidRPr="007526F1">
        <w:t xml:space="preserve">, je </w:t>
      </w:r>
      <w:r>
        <w:t>dostatečně kapacitní pro průtok 2,</w:t>
      </w:r>
      <w:r w:rsidRPr="004C4904">
        <w:t>3 m</w:t>
      </w:r>
      <w:r w:rsidRPr="004C4904">
        <w:rPr>
          <w:vertAlign w:val="superscript"/>
        </w:rPr>
        <w:t>3</w:t>
      </w:r>
      <w:r w:rsidRPr="004C4904">
        <w:t>/s</w:t>
      </w:r>
      <w:r>
        <w:t>.</w:t>
      </w:r>
      <w:r w:rsidRPr="007526F1">
        <w:t xml:space="preserve"> </w:t>
      </w:r>
      <w:r>
        <w:t xml:space="preserve">Výpočet byl proveden v softwaru </w:t>
      </w:r>
      <w:proofErr w:type="spellStart"/>
      <w:r>
        <w:t>Hydraflow</w:t>
      </w:r>
      <w:proofErr w:type="spellEnd"/>
      <w:r>
        <w:t xml:space="preserve"> Express. Maximální kapacita propustku je 2,5</w:t>
      </w:r>
      <w:r w:rsidRPr="004C4904">
        <w:t xml:space="preserve"> </w:t>
      </w:r>
      <w:bookmarkStart w:id="7" w:name="_Hlk25043192"/>
      <w:r w:rsidRPr="004C4904">
        <w:t>m</w:t>
      </w:r>
      <w:r w:rsidRPr="004C4904">
        <w:rPr>
          <w:vertAlign w:val="superscript"/>
        </w:rPr>
        <w:t>3</w:t>
      </w:r>
      <w:r w:rsidRPr="004C4904">
        <w:t>/s</w:t>
      </w:r>
      <w:r>
        <w:t>.</w:t>
      </w:r>
      <w:bookmarkEnd w:id="7"/>
    </w:p>
    <w:p w:rsidR="0012411A" w:rsidRPr="007526F1" w:rsidRDefault="0012411A" w:rsidP="001042CD">
      <w:pPr>
        <w:jc w:val="both"/>
      </w:pPr>
      <w:r>
        <w:t xml:space="preserve">Pod komunikací, </w:t>
      </w:r>
      <w:r w:rsidRPr="0012411A">
        <w:t xml:space="preserve">kudy je </w:t>
      </w:r>
      <w:r>
        <w:t xml:space="preserve">dále </w:t>
      </w:r>
      <w:r w:rsidRPr="0012411A">
        <w:t>vedeno koryto</w:t>
      </w:r>
      <w:r>
        <w:t xml:space="preserve"> vodního toku, je intravilán obce (zemědělské objekty, průmyslová zástavba). V případě další projektové přípravy je nezbytné pro tento úsek toku určit neškodný průtok, popřípadě upravit dimenzi koryta na požadovanou kapacitu.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809"/>
        <w:gridCol w:w="7479"/>
      </w:tblGrid>
      <w:tr w:rsidR="00230803" w:rsidRPr="007526F1" w:rsidTr="00230803">
        <w:trPr>
          <w:trHeight w:val="2965"/>
        </w:trPr>
        <w:tc>
          <w:tcPr>
            <w:tcW w:w="1809" w:type="dxa"/>
            <w:shd w:val="clear" w:color="auto" w:fill="auto"/>
            <w:vAlign w:val="bottom"/>
          </w:tcPr>
          <w:tbl>
            <w:tblPr>
              <w:tblpPr w:leftFromText="141" w:rightFromText="141" w:vertAnchor="page" w:horzAnchor="margin" w:tblpY="1"/>
              <w:tblOverlap w:val="never"/>
              <w:tblW w:w="1394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701"/>
              <w:gridCol w:w="693"/>
            </w:tblGrid>
            <w:tr w:rsidR="00230803" w:rsidRPr="004C4904" w:rsidTr="00230803">
              <w:trPr>
                <w:trHeight w:val="540"/>
              </w:trPr>
              <w:tc>
                <w:tcPr>
                  <w:tcW w:w="139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9D9D9" w:themeFill="background1" w:themeFillShade="D9"/>
                  <w:noWrap/>
                  <w:vAlign w:val="center"/>
                </w:tcPr>
                <w:p w:rsidR="00230803" w:rsidRPr="00BA7EAB" w:rsidRDefault="00230803" w:rsidP="00230803">
                  <w:pPr>
                    <w:spacing w:after="0" w:line="240" w:lineRule="auto"/>
                    <w:jc w:val="both"/>
                    <w:rPr>
                      <w:rFonts w:ascii="Calibri" w:eastAsia="Times New Roman" w:hAnsi="Calibri" w:cs="Times New Roman"/>
                      <w:lang w:eastAsia="cs-CZ"/>
                    </w:rPr>
                  </w:pPr>
                  <w:bookmarkStart w:id="8" w:name="_Hlk24716816"/>
                  <w:r w:rsidRPr="00BA7EAB">
                    <w:rPr>
                      <w:rFonts w:ascii="Calibri" w:eastAsia="Times New Roman" w:hAnsi="Calibri" w:cs="Times New Roman"/>
                      <w:lang w:eastAsia="cs-CZ"/>
                    </w:rPr>
                    <w:t>Parametry propustku</w:t>
                  </w:r>
                </w:p>
              </w:tc>
            </w:tr>
            <w:tr w:rsidR="00230803" w:rsidRPr="004C4904" w:rsidTr="00230803">
              <w:trPr>
                <w:trHeight w:val="454"/>
              </w:trPr>
              <w:tc>
                <w:tcPr>
                  <w:tcW w:w="70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230803" w:rsidRPr="007D325D" w:rsidRDefault="00230803" w:rsidP="00230803">
                  <w:pPr>
                    <w:spacing w:after="0" w:line="240" w:lineRule="auto"/>
                    <w:jc w:val="both"/>
                    <w:rPr>
                      <w:rFonts w:ascii="Calibri" w:eastAsia="Times New Roman" w:hAnsi="Calibri" w:cs="Times New Roman"/>
                      <w:lang w:eastAsia="cs-CZ"/>
                    </w:rPr>
                  </w:pPr>
                  <w:r w:rsidRPr="007D325D">
                    <w:rPr>
                      <w:rFonts w:ascii="Calibri" w:eastAsia="Times New Roman" w:hAnsi="Calibri" w:cs="Times New Roman"/>
                      <w:lang w:eastAsia="cs-CZ"/>
                    </w:rPr>
                    <w:t>D (m)</w:t>
                  </w:r>
                </w:p>
              </w:tc>
              <w:tc>
                <w:tcPr>
                  <w:tcW w:w="6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 w:themeFill="background1"/>
                  <w:noWrap/>
                  <w:vAlign w:val="center"/>
                  <w:hideMark/>
                </w:tcPr>
                <w:p w:rsidR="00230803" w:rsidRPr="007D325D" w:rsidRDefault="00230803" w:rsidP="00230803">
                  <w:pPr>
                    <w:spacing w:after="0" w:line="240" w:lineRule="auto"/>
                    <w:jc w:val="both"/>
                    <w:rPr>
                      <w:rFonts w:ascii="Calibri" w:eastAsia="Times New Roman" w:hAnsi="Calibri" w:cs="Times New Roman"/>
                      <w:lang w:eastAsia="cs-CZ"/>
                    </w:rPr>
                  </w:pPr>
                  <w:r w:rsidRPr="007D325D">
                    <w:rPr>
                      <w:rFonts w:ascii="Calibri" w:eastAsia="Times New Roman" w:hAnsi="Calibri" w:cs="Times New Roman"/>
                      <w:lang w:eastAsia="cs-CZ"/>
                    </w:rPr>
                    <w:t>2x1,0</w:t>
                  </w:r>
                </w:p>
              </w:tc>
            </w:tr>
            <w:tr w:rsidR="00230803" w:rsidRPr="004C4904" w:rsidTr="00230803">
              <w:trPr>
                <w:trHeight w:val="454"/>
              </w:trPr>
              <w:tc>
                <w:tcPr>
                  <w:tcW w:w="70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230803" w:rsidRPr="007D325D" w:rsidRDefault="00230803" w:rsidP="00230803">
                  <w:pPr>
                    <w:spacing w:after="0" w:line="240" w:lineRule="auto"/>
                    <w:jc w:val="both"/>
                    <w:rPr>
                      <w:rFonts w:ascii="Calibri" w:eastAsia="Times New Roman" w:hAnsi="Calibri" w:cs="Times New Roman"/>
                      <w:lang w:eastAsia="cs-CZ"/>
                    </w:rPr>
                  </w:pPr>
                  <w:r w:rsidRPr="007D325D">
                    <w:rPr>
                      <w:rFonts w:ascii="Calibri" w:eastAsia="Times New Roman" w:hAnsi="Calibri" w:cs="Times New Roman"/>
                      <w:lang w:eastAsia="cs-CZ"/>
                    </w:rPr>
                    <w:t>S (m</w:t>
                  </w:r>
                  <w:r w:rsidRPr="007D325D">
                    <w:rPr>
                      <w:rFonts w:ascii="Calibri" w:eastAsia="Times New Roman" w:hAnsi="Calibri" w:cs="Times New Roman"/>
                      <w:vertAlign w:val="superscript"/>
                      <w:lang w:eastAsia="cs-CZ"/>
                    </w:rPr>
                    <w:t>2</w:t>
                  </w:r>
                  <w:r w:rsidRPr="007D325D">
                    <w:rPr>
                      <w:rFonts w:ascii="Calibri" w:eastAsia="Times New Roman" w:hAnsi="Calibri" w:cs="Times New Roman"/>
                      <w:lang w:eastAsia="cs-CZ"/>
                    </w:rPr>
                    <w:t>)</w:t>
                  </w:r>
                </w:p>
              </w:tc>
              <w:tc>
                <w:tcPr>
                  <w:tcW w:w="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 w:themeFill="background1"/>
                  <w:noWrap/>
                  <w:vAlign w:val="center"/>
                  <w:hideMark/>
                </w:tcPr>
                <w:p w:rsidR="00230803" w:rsidRPr="007D325D" w:rsidRDefault="00230803" w:rsidP="00230803">
                  <w:pPr>
                    <w:spacing w:after="0" w:line="240" w:lineRule="auto"/>
                    <w:jc w:val="both"/>
                    <w:rPr>
                      <w:rFonts w:ascii="Calibri" w:eastAsia="Times New Roman" w:hAnsi="Calibri" w:cs="Times New Roman"/>
                      <w:lang w:eastAsia="cs-CZ"/>
                    </w:rPr>
                  </w:pPr>
                  <w:r w:rsidRPr="007D325D">
                    <w:rPr>
                      <w:rFonts w:ascii="Calibri" w:eastAsia="Times New Roman" w:hAnsi="Calibri" w:cs="Times New Roman"/>
                      <w:lang w:eastAsia="cs-CZ"/>
                    </w:rPr>
                    <w:t>1,00</w:t>
                  </w:r>
                </w:p>
              </w:tc>
            </w:tr>
            <w:tr w:rsidR="00230803" w:rsidRPr="004C4904" w:rsidTr="00230803">
              <w:trPr>
                <w:trHeight w:val="454"/>
              </w:trPr>
              <w:tc>
                <w:tcPr>
                  <w:tcW w:w="70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230803" w:rsidRPr="007D325D" w:rsidRDefault="00230803" w:rsidP="00230803">
                  <w:pPr>
                    <w:spacing w:after="0" w:line="240" w:lineRule="auto"/>
                    <w:jc w:val="both"/>
                    <w:rPr>
                      <w:rFonts w:ascii="Arial" w:eastAsia="Times New Roman" w:hAnsi="Arial" w:cs="Arial"/>
                      <w:lang w:eastAsia="cs-CZ"/>
                    </w:rPr>
                  </w:pPr>
                  <w:r w:rsidRPr="007D325D">
                    <w:rPr>
                      <w:rFonts w:ascii="Arial" w:eastAsia="Times New Roman" w:hAnsi="Arial" w:cs="Arial"/>
                      <w:lang w:eastAsia="cs-CZ"/>
                    </w:rPr>
                    <w:t>n</w:t>
                  </w:r>
                </w:p>
              </w:tc>
              <w:tc>
                <w:tcPr>
                  <w:tcW w:w="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 w:themeFill="background1"/>
                  <w:noWrap/>
                  <w:vAlign w:val="center"/>
                  <w:hideMark/>
                </w:tcPr>
                <w:p w:rsidR="00230803" w:rsidRPr="007D325D" w:rsidRDefault="00230803" w:rsidP="00230803">
                  <w:pPr>
                    <w:spacing w:after="0" w:line="240" w:lineRule="auto"/>
                    <w:jc w:val="both"/>
                    <w:rPr>
                      <w:rFonts w:ascii="Calibri" w:eastAsia="Times New Roman" w:hAnsi="Calibri" w:cs="Times New Roman"/>
                      <w:lang w:eastAsia="cs-CZ"/>
                    </w:rPr>
                  </w:pPr>
                  <w:r w:rsidRPr="007D325D">
                    <w:rPr>
                      <w:rFonts w:ascii="Calibri" w:eastAsia="Times New Roman" w:hAnsi="Calibri" w:cs="Times New Roman"/>
                      <w:lang w:eastAsia="cs-CZ"/>
                    </w:rPr>
                    <w:t>0,013</w:t>
                  </w:r>
                </w:p>
              </w:tc>
            </w:tr>
            <w:tr w:rsidR="00230803" w:rsidRPr="004C4904" w:rsidTr="00230803">
              <w:trPr>
                <w:trHeight w:val="454"/>
              </w:trPr>
              <w:tc>
                <w:tcPr>
                  <w:tcW w:w="70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230803" w:rsidRPr="007D325D" w:rsidRDefault="00230803" w:rsidP="00230803">
                  <w:pPr>
                    <w:spacing w:after="0" w:line="240" w:lineRule="auto"/>
                    <w:jc w:val="both"/>
                    <w:rPr>
                      <w:rFonts w:ascii="Arial" w:eastAsia="Times New Roman" w:hAnsi="Arial" w:cs="Arial"/>
                      <w:lang w:eastAsia="cs-CZ"/>
                    </w:rPr>
                  </w:pPr>
                  <w:r w:rsidRPr="007D325D">
                    <w:rPr>
                      <w:rFonts w:ascii="Arial" w:eastAsia="Times New Roman" w:hAnsi="Arial" w:cs="Arial"/>
                      <w:lang w:eastAsia="cs-CZ"/>
                    </w:rPr>
                    <w:t>i (%)</w:t>
                  </w:r>
                </w:p>
              </w:tc>
              <w:tc>
                <w:tcPr>
                  <w:tcW w:w="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 w:themeFill="background1"/>
                  <w:noWrap/>
                  <w:vAlign w:val="center"/>
                  <w:hideMark/>
                </w:tcPr>
                <w:p w:rsidR="00230803" w:rsidRPr="007D325D" w:rsidRDefault="00230803" w:rsidP="00230803">
                  <w:pPr>
                    <w:spacing w:after="0" w:line="240" w:lineRule="auto"/>
                    <w:jc w:val="both"/>
                    <w:rPr>
                      <w:rFonts w:ascii="Calibri" w:eastAsia="Times New Roman" w:hAnsi="Calibri" w:cs="Times New Roman"/>
                      <w:lang w:eastAsia="cs-CZ"/>
                    </w:rPr>
                  </w:pPr>
                  <w:r w:rsidRPr="007D325D">
                    <w:rPr>
                      <w:rFonts w:ascii="Calibri" w:eastAsia="Times New Roman" w:hAnsi="Calibri" w:cs="Times New Roman"/>
                      <w:lang w:eastAsia="cs-CZ"/>
                    </w:rPr>
                    <w:t>2,00</w:t>
                  </w:r>
                </w:p>
              </w:tc>
            </w:tr>
            <w:tr w:rsidR="00230803" w:rsidRPr="004C4904" w:rsidTr="00230803">
              <w:trPr>
                <w:trHeight w:val="454"/>
              </w:trPr>
              <w:tc>
                <w:tcPr>
                  <w:tcW w:w="70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230803" w:rsidRPr="007D325D" w:rsidRDefault="00230803" w:rsidP="00230803">
                  <w:pPr>
                    <w:spacing w:after="0" w:line="240" w:lineRule="auto"/>
                    <w:jc w:val="both"/>
                    <w:rPr>
                      <w:rFonts w:ascii="Arial" w:eastAsia="Times New Roman" w:hAnsi="Arial" w:cs="Arial"/>
                      <w:lang w:eastAsia="cs-CZ"/>
                    </w:rPr>
                  </w:pPr>
                  <w:r w:rsidRPr="007D325D">
                    <w:rPr>
                      <w:rFonts w:ascii="Calibri" w:eastAsia="Times New Roman" w:hAnsi="Calibri" w:cs="Times New Roman"/>
                      <w:color w:val="000000"/>
                      <w:lang w:eastAsia="cs-CZ"/>
                    </w:rPr>
                    <w:t xml:space="preserve">délka </w:t>
                  </w:r>
                  <w:proofErr w:type="spellStart"/>
                  <w:r w:rsidRPr="007D325D">
                    <w:rPr>
                      <w:rFonts w:ascii="Calibri" w:eastAsia="Times New Roman" w:hAnsi="Calibri" w:cs="Times New Roman"/>
                      <w:color w:val="000000"/>
                      <w:lang w:eastAsia="cs-CZ"/>
                    </w:rPr>
                    <w:t>prop</w:t>
                  </w:r>
                  <w:proofErr w:type="spellEnd"/>
                  <w:r w:rsidRPr="007D325D">
                    <w:rPr>
                      <w:rFonts w:ascii="Calibri" w:eastAsia="Times New Roman" w:hAnsi="Calibri" w:cs="Times New Roman"/>
                      <w:color w:val="000000"/>
                      <w:lang w:eastAsia="cs-CZ"/>
                    </w:rPr>
                    <w:t>. (m)</w:t>
                  </w:r>
                </w:p>
              </w:tc>
              <w:tc>
                <w:tcPr>
                  <w:tcW w:w="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FFFFFF" w:themeFill="background1"/>
                  <w:noWrap/>
                  <w:vAlign w:val="center"/>
                  <w:hideMark/>
                </w:tcPr>
                <w:p w:rsidR="00230803" w:rsidRPr="007D325D" w:rsidRDefault="00230803" w:rsidP="00230803">
                  <w:pPr>
                    <w:spacing w:after="0" w:line="240" w:lineRule="auto"/>
                    <w:jc w:val="both"/>
                    <w:rPr>
                      <w:rFonts w:ascii="Calibri" w:eastAsia="Times New Roman" w:hAnsi="Calibri" w:cs="Times New Roman"/>
                      <w:lang w:eastAsia="cs-CZ"/>
                    </w:rPr>
                  </w:pPr>
                  <w:r w:rsidRPr="007D325D">
                    <w:rPr>
                      <w:rFonts w:ascii="Calibri" w:eastAsia="Times New Roman" w:hAnsi="Calibri" w:cs="Times New Roman"/>
                      <w:lang w:eastAsia="cs-CZ"/>
                    </w:rPr>
                    <w:t>7,0</w:t>
                  </w:r>
                </w:p>
              </w:tc>
            </w:tr>
          </w:tbl>
          <w:p w:rsidR="001042CD" w:rsidRPr="007526F1" w:rsidRDefault="001042CD" w:rsidP="005E504B">
            <w:pPr>
              <w:spacing w:after="160" w:line="259" w:lineRule="auto"/>
              <w:jc w:val="both"/>
            </w:pPr>
          </w:p>
        </w:tc>
        <w:tc>
          <w:tcPr>
            <w:tcW w:w="7479" w:type="dxa"/>
            <w:shd w:val="clear" w:color="auto" w:fill="auto"/>
            <w:vAlign w:val="bottom"/>
          </w:tcPr>
          <w:p w:rsidR="001042CD" w:rsidRPr="007526F1" w:rsidRDefault="00230803" w:rsidP="005E504B">
            <w:pPr>
              <w:spacing w:after="160" w:line="259" w:lineRule="auto"/>
              <w:jc w:val="both"/>
            </w:pPr>
            <w:r>
              <w:rPr>
                <w:noProof/>
              </w:rPr>
              <w:drawing>
                <wp:inline distT="0" distB="0" distL="0" distR="0" wp14:anchorId="103AB502" wp14:editId="482747DD">
                  <wp:extent cx="4238625" cy="2039885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6917" cy="2087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bookmarkEnd w:id="8"/>
    <w:p w:rsidR="001042CD" w:rsidRDefault="001042CD" w:rsidP="00452076">
      <w:pPr>
        <w:jc w:val="both"/>
      </w:pPr>
      <w:r>
        <w:t>V případě bezpečnostního přelivu dimenzovaného na stoletý průtok, by odpadní šachta byla zvětšena o další rouru o dimenzi DN1000. Dimenze této šachty by byla 3xDN1000 s maximální kapacitou 3,8 </w:t>
      </w:r>
      <w:r w:rsidRPr="004C4904">
        <w:t>m</w:t>
      </w:r>
      <w:r w:rsidRPr="004C4904">
        <w:rPr>
          <w:vertAlign w:val="superscript"/>
        </w:rPr>
        <w:t>3</w:t>
      </w:r>
      <w:r w:rsidRPr="004C4904">
        <w:t>/s</w:t>
      </w:r>
      <w:r>
        <w:t>.</w:t>
      </w:r>
    </w:p>
    <w:p w:rsidR="007D325D" w:rsidRDefault="007D325D" w:rsidP="00452076">
      <w:pPr>
        <w:jc w:val="both"/>
      </w:pPr>
      <w:r>
        <w:t>Pro 1</w:t>
      </w:r>
      <w:r w:rsidR="000E3CF1">
        <w:t>1</w:t>
      </w:r>
      <w:r>
        <w:t xml:space="preserve"> m širokou přelivnou hranu bezpečnostního přelivu a přepadovou výšku 0,3 m je průtok 3,</w:t>
      </w:r>
      <w:r w:rsidR="000E3CF1">
        <w:t>9</w:t>
      </w:r>
      <w:r>
        <w:t> </w:t>
      </w:r>
      <w:r w:rsidRPr="007D325D">
        <w:t>m</w:t>
      </w:r>
      <w:r w:rsidRPr="007D325D">
        <w:rPr>
          <w:vertAlign w:val="superscript"/>
        </w:rPr>
        <w:t>3</w:t>
      </w:r>
      <w:r w:rsidRPr="007D325D">
        <w:t>/s.</w:t>
      </w:r>
      <w:r>
        <w:t xml:space="preserve"> Bezpečnostní přeliv široký</w:t>
      </w:r>
      <w:bookmarkStart w:id="9" w:name="_GoBack"/>
      <w:bookmarkEnd w:id="9"/>
      <w:r>
        <w:t xml:space="preserve"> 1</w:t>
      </w:r>
      <w:r w:rsidR="000E3CF1">
        <w:t>1</w:t>
      </w:r>
      <w:r>
        <w:t xml:space="preserve"> m tak bude dostatečný pro návrhový průtok </w:t>
      </w:r>
      <w:r w:rsidRPr="007D325D">
        <w:t>Q</w:t>
      </w:r>
      <w:r>
        <w:rPr>
          <w:vertAlign w:val="subscript"/>
        </w:rPr>
        <w:t>100</w:t>
      </w:r>
      <w:r w:rsidRPr="007D325D">
        <w:t xml:space="preserve">= </w:t>
      </w:r>
      <w:r>
        <w:t>3</w:t>
      </w:r>
      <w:r w:rsidRPr="007D325D">
        <w:t>,</w:t>
      </w:r>
      <w:r>
        <w:t>8</w:t>
      </w:r>
      <w:r w:rsidRPr="007D325D">
        <w:t xml:space="preserve"> m</w:t>
      </w:r>
      <w:r w:rsidRPr="007D325D">
        <w:rPr>
          <w:vertAlign w:val="superscript"/>
        </w:rPr>
        <w:t>3</w:t>
      </w:r>
      <w:r w:rsidRPr="007D325D">
        <w:t>/s.</w:t>
      </w:r>
    </w:p>
    <w:p w:rsidR="001042CD" w:rsidRDefault="00CC01F2" w:rsidP="00452076">
      <w:pPr>
        <w:jc w:val="both"/>
      </w:pPr>
      <w:r>
        <w:rPr>
          <w:noProof/>
        </w:rPr>
        <w:lastRenderedPageBreak/>
        <w:drawing>
          <wp:inline distT="0" distB="0" distL="0" distR="0" wp14:anchorId="7F16A8A4" wp14:editId="23509E7B">
            <wp:extent cx="5324475" cy="2209800"/>
            <wp:effectExtent l="0" t="0" r="9525" b="0"/>
            <wp:docPr id="4" name="Graf 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sectPr w:rsidR="001042CD" w:rsidSect="007E12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3695E" w:rsidRDefault="0043695E" w:rsidP="007C13B4">
      <w:pPr>
        <w:spacing w:after="0" w:line="240" w:lineRule="auto"/>
      </w:pPr>
      <w:r>
        <w:separator/>
      </w:r>
    </w:p>
  </w:endnote>
  <w:endnote w:type="continuationSeparator" w:id="0">
    <w:p w:rsidR="0043695E" w:rsidRDefault="0043695E" w:rsidP="007C13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3695E" w:rsidRDefault="0043695E" w:rsidP="007C13B4">
      <w:pPr>
        <w:spacing w:after="0" w:line="240" w:lineRule="auto"/>
      </w:pPr>
      <w:r>
        <w:separator/>
      </w:r>
    </w:p>
  </w:footnote>
  <w:footnote w:type="continuationSeparator" w:id="0">
    <w:p w:rsidR="0043695E" w:rsidRDefault="0043695E" w:rsidP="007C13B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5CB"/>
    <w:rsid w:val="00004B99"/>
    <w:rsid w:val="00007126"/>
    <w:rsid w:val="000301BE"/>
    <w:rsid w:val="00043269"/>
    <w:rsid w:val="00043F5C"/>
    <w:rsid w:val="000632DD"/>
    <w:rsid w:val="00067B51"/>
    <w:rsid w:val="000701B1"/>
    <w:rsid w:val="00072EF7"/>
    <w:rsid w:val="00083BCC"/>
    <w:rsid w:val="00094BF5"/>
    <w:rsid w:val="000A2D30"/>
    <w:rsid w:val="000B25DE"/>
    <w:rsid w:val="000B79E1"/>
    <w:rsid w:val="000C5F12"/>
    <w:rsid w:val="000D10DE"/>
    <w:rsid w:val="000D2426"/>
    <w:rsid w:val="000E3CF1"/>
    <w:rsid w:val="001042CD"/>
    <w:rsid w:val="001144ED"/>
    <w:rsid w:val="0012411A"/>
    <w:rsid w:val="00134075"/>
    <w:rsid w:val="00137EBB"/>
    <w:rsid w:val="00146EFF"/>
    <w:rsid w:val="0015336B"/>
    <w:rsid w:val="00153686"/>
    <w:rsid w:val="001747E1"/>
    <w:rsid w:val="001819DA"/>
    <w:rsid w:val="001C65CB"/>
    <w:rsid w:val="001E019D"/>
    <w:rsid w:val="001F6934"/>
    <w:rsid w:val="002206E8"/>
    <w:rsid w:val="00220B47"/>
    <w:rsid w:val="00230803"/>
    <w:rsid w:val="002441C4"/>
    <w:rsid w:val="00245179"/>
    <w:rsid w:val="00294F12"/>
    <w:rsid w:val="00297A0E"/>
    <w:rsid w:val="002B56B3"/>
    <w:rsid w:val="002C40C8"/>
    <w:rsid w:val="002C631E"/>
    <w:rsid w:val="002F402C"/>
    <w:rsid w:val="00307783"/>
    <w:rsid w:val="00320FB2"/>
    <w:rsid w:val="0032456A"/>
    <w:rsid w:val="00325170"/>
    <w:rsid w:val="0035395B"/>
    <w:rsid w:val="00353FF5"/>
    <w:rsid w:val="00372CE1"/>
    <w:rsid w:val="003873C0"/>
    <w:rsid w:val="003A2BA8"/>
    <w:rsid w:val="003B38A8"/>
    <w:rsid w:val="003D310B"/>
    <w:rsid w:val="003D69D2"/>
    <w:rsid w:val="003D7A2A"/>
    <w:rsid w:val="00407B72"/>
    <w:rsid w:val="004100CB"/>
    <w:rsid w:val="004163CA"/>
    <w:rsid w:val="00430CE2"/>
    <w:rsid w:val="0043695E"/>
    <w:rsid w:val="00440C2C"/>
    <w:rsid w:val="00446E33"/>
    <w:rsid w:val="00452076"/>
    <w:rsid w:val="004A41F0"/>
    <w:rsid w:val="004D5BAA"/>
    <w:rsid w:val="004E44CA"/>
    <w:rsid w:val="005140DB"/>
    <w:rsid w:val="005206D0"/>
    <w:rsid w:val="00532FB7"/>
    <w:rsid w:val="00543B74"/>
    <w:rsid w:val="00545AF3"/>
    <w:rsid w:val="00556147"/>
    <w:rsid w:val="00582838"/>
    <w:rsid w:val="0058410E"/>
    <w:rsid w:val="00587967"/>
    <w:rsid w:val="00593C6E"/>
    <w:rsid w:val="00594DB9"/>
    <w:rsid w:val="005B2C47"/>
    <w:rsid w:val="005B30B5"/>
    <w:rsid w:val="005D070E"/>
    <w:rsid w:val="005D3541"/>
    <w:rsid w:val="005D5AEE"/>
    <w:rsid w:val="005F41D9"/>
    <w:rsid w:val="00626138"/>
    <w:rsid w:val="006455DF"/>
    <w:rsid w:val="00647F15"/>
    <w:rsid w:val="00672D15"/>
    <w:rsid w:val="0069003A"/>
    <w:rsid w:val="0069635E"/>
    <w:rsid w:val="006F1E3A"/>
    <w:rsid w:val="00712851"/>
    <w:rsid w:val="00712904"/>
    <w:rsid w:val="00717077"/>
    <w:rsid w:val="007241E0"/>
    <w:rsid w:val="00725EB1"/>
    <w:rsid w:val="00727150"/>
    <w:rsid w:val="00745B43"/>
    <w:rsid w:val="00750E8E"/>
    <w:rsid w:val="00794B21"/>
    <w:rsid w:val="007C13B4"/>
    <w:rsid w:val="007D027B"/>
    <w:rsid w:val="007D325D"/>
    <w:rsid w:val="007D4958"/>
    <w:rsid w:val="007D7505"/>
    <w:rsid w:val="007E12DF"/>
    <w:rsid w:val="00802184"/>
    <w:rsid w:val="00807F9F"/>
    <w:rsid w:val="008124EF"/>
    <w:rsid w:val="0083060E"/>
    <w:rsid w:val="00836CDF"/>
    <w:rsid w:val="0083725D"/>
    <w:rsid w:val="00843899"/>
    <w:rsid w:val="00847CA3"/>
    <w:rsid w:val="0086717F"/>
    <w:rsid w:val="00875F4F"/>
    <w:rsid w:val="00880D3C"/>
    <w:rsid w:val="00882A42"/>
    <w:rsid w:val="00890FD4"/>
    <w:rsid w:val="00892AB3"/>
    <w:rsid w:val="0089769F"/>
    <w:rsid w:val="008C6B42"/>
    <w:rsid w:val="008C7139"/>
    <w:rsid w:val="008D7FDC"/>
    <w:rsid w:val="008E4B2B"/>
    <w:rsid w:val="008E4E2B"/>
    <w:rsid w:val="008F0641"/>
    <w:rsid w:val="00912E1A"/>
    <w:rsid w:val="0093743F"/>
    <w:rsid w:val="009400F0"/>
    <w:rsid w:val="00942AAD"/>
    <w:rsid w:val="009439F6"/>
    <w:rsid w:val="00957585"/>
    <w:rsid w:val="00960111"/>
    <w:rsid w:val="00962C1F"/>
    <w:rsid w:val="00964FE6"/>
    <w:rsid w:val="0096614E"/>
    <w:rsid w:val="00967E33"/>
    <w:rsid w:val="00987F16"/>
    <w:rsid w:val="00992644"/>
    <w:rsid w:val="009A1566"/>
    <w:rsid w:val="009C4F84"/>
    <w:rsid w:val="009D1985"/>
    <w:rsid w:val="009D26F7"/>
    <w:rsid w:val="009F3804"/>
    <w:rsid w:val="00A06060"/>
    <w:rsid w:val="00A16D58"/>
    <w:rsid w:val="00A227D6"/>
    <w:rsid w:val="00A260EA"/>
    <w:rsid w:val="00A33BED"/>
    <w:rsid w:val="00A84BC9"/>
    <w:rsid w:val="00AB43B2"/>
    <w:rsid w:val="00AB627E"/>
    <w:rsid w:val="00AB6B53"/>
    <w:rsid w:val="00AD29D6"/>
    <w:rsid w:val="00AE790A"/>
    <w:rsid w:val="00B039F3"/>
    <w:rsid w:val="00B157E3"/>
    <w:rsid w:val="00B25952"/>
    <w:rsid w:val="00B26C54"/>
    <w:rsid w:val="00B637E0"/>
    <w:rsid w:val="00B91FA9"/>
    <w:rsid w:val="00BA75C0"/>
    <w:rsid w:val="00BC16D1"/>
    <w:rsid w:val="00BC1A59"/>
    <w:rsid w:val="00BD33F2"/>
    <w:rsid w:val="00C00CB2"/>
    <w:rsid w:val="00C43DBF"/>
    <w:rsid w:val="00C6372F"/>
    <w:rsid w:val="00C810F8"/>
    <w:rsid w:val="00C92AAE"/>
    <w:rsid w:val="00C97007"/>
    <w:rsid w:val="00CA3A60"/>
    <w:rsid w:val="00CB76D9"/>
    <w:rsid w:val="00CC01F2"/>
    <w:rsid w:val="00D31B05"/>
    <w:rsid w:val="00D85CD1"/>
    <w:rsid w:val="00D86099"/>
    <w:rsid w:val="00D909EC"/>
    <w:rsid w:val="00DA2322"/>
    <w:rsid w:val="00DB18AB"/>
    <w:rsid w:val="00E07D9E"/>
    <w:rsid w:val="00E10412"/>
    <w:rsid w:val="00E10D52"/>
    <w:rsid w:val="00E209DD"/>
    <w:rsid w:val="00E25A37"/>
    <w:rsid w:val="00E275D8"/>
    <w:rsid w:val="00E3214B"/>
    <w:rsid w:val="00E57E16"/>
    <w:rsid w:val="00E66467"/>
    <w:rsid w:val="00E67CFA"/>
    <w:rsid w:val="00E812E5"/>
    <w:rsid w:val="00E93842"/>
    <w:rsid w:val="00EC0E43"/>
    <w:rsid w:val="00EC6AD1"/>
    <w:rsid w:val="00EE1C30"/>
    <w:rsid w:val="00EE6571"/>
    <w:rsid w:val="00EF2C99"/>
    <w:rsid w:val="00F02C07"/>
    <w:rsid w:val="00F142FD"/>
    <w:rsid w:val="00F43E8A"/>
    <w:rsid w:val="00F45E06"/>
    <w:rsid w:val="00FA3460"/>
    <w:rsid w:val="00FB2332"/>
    <w:rsid w:val="00FF6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EFA9688"/>
  <w15:docId w15:val="{81FEC2D7-27AF-499B-8AC8-234F53CF1C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153686"/>
  </w:style>
  <w:style w:type="paragraph" w:styleId="Nadpis1">
    <w:name w:val="heading 1"/>
    <w:basedOn w:val="Normln"/>
    <w:next w:val="Normln"/>
    <w:link w:val="Nadpis1Char"/>
    <w:uiPriority w:val="9"/>
    <w:qFormat/>
    <w:rsid w:val="0058410E"/>
    <w:pPr>
      <w:keepNext/>
      <w:keepLines/>
      <w:shd w:val="clear" w:color="auto" w:fill="C5E0B3" w:themeFill="accent6" w:themeFillTint="66"/>
      <w:spacing w:before="240" w:after="0"/>
      <w:outlineLvl w:val="0"/>
    </w:pPr>
    <w:rPr>
      <w:rFonts w:eastAsiaTheme="majorEastAsia" w:cstheme="majorBidi"/>
      <w:b/>
      <w:smallCaps/>
      <w:sz w:val="28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52076"/>
    <w:pPr>
      <w:keepNext/>
      <w:keepLines/>
      <w:pBdr>
        <w:top w:val="single" w:sz="4" w:space="1" w:color="A8D08D" w:themeColor="accent6" w:themeTint="99"/>
        <w:left w:val="single" w:sz="4" w:space="4" w:color="A8D08D" w:themeColor="accent6" w:themeTint="99"/>
        <w:bottom w:val="single" w:sz="4" w:space="1" w:color="A8D08D" w:themeColor="accent6" w:themeTint="99"/>
        <w:right w:val="single" w:sz="4" w:space="4" w:color="A8D08D" w:themeColor="accent6" w:themeTint="99"/>
      </w:pBdr>
      <w:spacing w:before="40" w:after="0"/>
      <w:outlineLvl w:val="1"/>
    </w:pPr>
    <w:rPr>
      <w:rFonts w:asciiTheme="majorHAnsi" w:eastAsiaTheme="majorEastAsia" w:hAnsiTheme="majorHAnsi" w:cstheme="majorBidi"/>
      <w:b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7C13B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58410E"/>
    <w:rPr>
      <w:rFonts w:eastAsiaTheme="majorEastAsia" w:cstheme="majorBidi"/>
      <w:b/>
      <w:smallCaps/>
      <w:sz w:val="28"/>
      <w:szCs w:val="32"/>
      <w:shd w:val="clear" w:color="auto" w:fill="C5E0B3" w:themeFill="accent6" w:themeFillTint="66"/>
    </w:rPr>
  </w:style>
  <w:style w:type="character" w:customStyle="1" w:styleId="Nadpis2Char">
    <w:name w:val="Nadpis 2 Char"/>
    <w:basedOn w:val="Standardnpsmoodstavce"/>
    <w:link w:val="Nadpis2"/>
    <w:uiPriority w:val="9"/>
    <w:rsid w:val="00452076"/>
    <w:rPr>
      <w:rFonts w:asciiTheme="majorHAnsi" w:eastAsiaTheme="majorEastAsia" w:hAnsiTheme="majorHAnsi" w:cstheme="majorBidi"/>
      <w:b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7C13B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xtpoznpodarou">
    <w:name w:val="footnote text"/>
    <w:basedOn w:val="Normln"/>
    <w:link w:val="TextpoznpodarouChar"/>
    <w:uiPriority w:val="99"/>
    <w:rsid w:val="007C13B4"/>
    <w:pPr>
      <w:spacing w:after="120" w:line="276" w:lineRule="auto"/>
    </w:pPr>
    <w:rPr>
      <w:rFonts w:ascii="Times New Roman" w:eastAsia="Times New Roman" w:hAnsi="Times New Roman" w:cs="Times New Roman"/>
      <w:szCs w:val="24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7C13B4"/>
    <w:rPr>
      <w:rFonts w:ascii="Times New Roman" w:eastAsia="Times New Roman" w:hAnsi="Times New Roman" w:cs="Times New Roman"/>
      <w:szCs w:val="24"/>
      <w:lang w:eastAsia="cs-CZ"/>
    </w:rPr>
  </w:style>
  <w:style w:type="character" w:styleId="Znakapoznpodarou">
    <w:name w:val="footnote reference"/>
    <w:uiPriority w:val="99"/>
    <w:rsid w:val="007C13B4"/>
    <w:rPr>
      <w:b/>
      <w:vertAlign w:val="superscript"/>
    </w:rPr>
  </w:style>
  <w:style w:type="paragraph" w:styleId="Bezmezer">
    <w:name w:val="No Spacing"/>
    <w:uiPriority w:val="1"/>
    <w:qFormat/>
    <w:rsid w:val="007C13B4"/>
    <w:pPr>
      <w:spacing w:after="0" w:line="240" w:lineRule="auto"/>
    </w:pPr>
    <w:rPr>
      <w:rFonts w:ascii="Arial" w:eastAsia="Times New Roman" w:hAnsi="Arial" w:cs="Times New Roman"/>
      <w:sz w:val="20"/>
      <w:lang w:eastAsia="cs-CZ"/>
    </w:rPr>
  </w:style>
  <w:style w:type="paragraph" w:customStyle="1" w:styleId="Tabulka">
    <w:name w:val="Tabulka"/>
    <w:basedOn w:val="Titulek"/>
    <w:uiPriority w:val="99"/>
    <w:qFormat/>
    <w:rsid w:val="009439F6"/>
    <w:pPr>
      <w:keepNext/>
      <w:spacing w:before="160" w:after="40"/>
      <w:jc w:val="both"/>
    </w:pPr>
    <w:rPr>
      <w:rFonts w:eastAsia="Times New Roman" w:cs="Times New Roman"/>
      <w:bCs/>
      <w:iCs w:val="0"/>
      <w:color w:val="auto"/>
      <w:sz w:val="22"/>
      <w:szCs w:val="22"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9439F6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Obrzek">
    <w:name w:val="Obrázek"/>
    <w:basedOn w:val="Normln"/>
    <w:next w:val="Normln"/>
    <w:link w:val="ObrzekChar"/>
    <w:qFormat/>
    <w:rsid w:val="009439F6"/>
    <w:pPr>
      <w:spacing w:after="0" w:line="276" w:lineRule="auto"/>
      <w:jc w:val="center"/>
    </w:pPr>
    <w:rPr>
      <w:rFonts w:eastAsia="Calibri" w:cs="Arial"/>
      <w:i/>
    </w:rPr>
  </w:style>
  <w:style w:type="character" w:customStyle="1" w:styleId="ObrzekChar">
    <w:name w:val="Obrázek Char"/>
    <w:link w:val="Obrzek"/>
    <w:rsid w:val="009439F6"/>
    <w:rPr>
      <w:rFonts w:eastAsia="Calibri" w:cs="Arial"/>
      <w:i/>
    </w:rPr>
  </w:style>
  <w:style w:type="table" w:styleId="Mkatabulky">
    <w:name w:val="Table Grid"/>
    <w:aliases w:val="Obrazek"/>
    <w:basedOn w:val="Normlntabulka"/>
    <w:uiPriority w:val="39"/>
    <w:rsid w:val="00094B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353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539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870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0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75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65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12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2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5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6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6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33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1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76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95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8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43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8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9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4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chart" Target="charts/chart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FSGW1\DATA4\PROJEKTA\__PLANOVANI_KONCEPCE\4250_SOP_Protivin\Vypocty\Vlna_001.xlsx" TargetMode="Externa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chartUserShapes" Target="../drawings/drawing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cs-CZ" sz="1200" b="1"/>
              <a:t>Konzumční křivka bezpeč. přelivu</a:t>
            </a:r>
          </a:p>
        </c:rich>
      </c:tx>
      <c:layout>
        <c:manualLayout>
          <c:xMode val="edge"/>
          <c:yMode val="edge"/>
          <c:x val="0.28496570198893995"/>
          <c:y val="5.6022408963585435E-3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156609608581536"/>
          <c:y val="0.10458855125911534"/>
          <c:w val="0.81130343489672485"/>
          <c:h val="0.75000042265241096"/>
        </c:manualLayout>
      </c:layout>
      <c:scatterChart>
        <c:scatterStyle val="lineMarker"/>
        <c:varyColors val="0"/>
        <c:ser>
          <c:idx val="1"/>
          <c:order val="0"/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VYPUST!$R$29:$R$34</c:f>
              <c:numCache>
                <c:formatCode>0.00</c:formatCode>
                <c:ptCount val="6"/>
                <c:pt idx="0">
                  <c:v>0</c:v>
                </c:pt>
                <c:pt idx="1">
                  <c:v>0.28126417504972778</c:v>
                </c:pt>
                <c:pt idx="2">
                  <c:v>0.84790063629331036</c:v>
                </c:pt>
                <c:pt idx="3">
                  <c:v>1.6453650026888054</c:v>
                </c:pt>
                <c:pt idx="4">
                  <c:v>2.6593167926387835</c:v>
                </c:pt>
                <c:pt idx="5">
                  <c:v>3.8847714603591066</c:v>
                </c:pt>
              </c:numCache>
            </c:numRef>
          </c:xVal>
          <c:yVal>
            <c:numRef>
              <c:f>VYPUST!$L$29:$L$34</c:f>
              <c:numCache>
                <c:formatCode>0.00</c:formatCode>
                <c:ptCount val="6"/>
                <c:pt idx="0">
                  <c:v>389.75</c:v>
                </c:pt>
                <c:pt idx="1">
                  <c:v>389.81</c:v>
                </c:pt>
                <c:pt idx="2">
                  <c:v>389.87</c:v>
                </c:pt>
                <c:pt idx="3">
                  <c:v>389.93</c:v>
                </c:pt>
                <c:pt idx="4">
                  <c:v>389.99</c:v>
                </c:pt>
                <c:pt idx="5">
                  <c:v>390.05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F641-4AC8-93B7-E6EE4BAB93B0}"/>
            </c:ext>
          </c:extLst>
        </c:ser>
        <c:ser>
          <c:idx val="0"/>
          <c:order val="1"/>
          <c:tx>
            <c:v>MBH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layout>
                <c:manualLayout>
                  <c:x val="0.14745613646324229"/>
                  <c:y val="-0.29754957100950619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Mezní bezpečná hladina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641-4AC8-93B7-E6EE4BAB93B0}"/>
                </c:ext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F641-4AC8-93B7-E6EE4BAB93B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xVal>
            <c:numRef>
              <c:f>VYPUST!$O$43:$O$44</c:f>
              <c:numCache>
                <c:formatCode>0.00</c:formatCode>
                <c:ptCount val="2"/>
                <c:pt idx="0" formatCode="General">
                  <c:v>0</c:v>
                </c:pt>
                <c:pt idx="1">
                  <c:v>5.3217422931382261</c:v>
                </c:pt>
              </c:numCache>
            </c:numRef>
          </c:xVal>
          <c:yVal>
            <c:numRef>
              <c:f>VYPUST!$P$43:$P$44</c:f>
              <c:numCache>
                <c:formatCode>0.00</c:formatCode>
                <c:ptCount val="2"/>
                <c:pt idx="0">
                  <c:v>389.75</c:v>
                </c:pt>
                <c:pt idx="1">
                  <c:v>389.75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F641-4AC8-93B7-E6EE4BAB93B0}"/>
            </c:ext>
          </c:extLst>
        </c:ser>
        <c:ser>
          <c:idx val="2"/>
          <c:order val="2"/>
          <c:tx>
            <c:v>koruna BP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dLbls>
            <c:dLbl>
              <c:idx val="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F641-4AC8-93B7-E6EE4BAB93B0}"/>
                </c:ext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F641-4AC8-93B7-E6EE4BAB93B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xVal>
            <c:numRef>
              <c:f>VYPUST!$O$46:$O$47</c:f>
              <c:numCache>
                <c:formatCode>0.00</c:formatCode>
                <c:ptCount val="2"/>
                <c:pt idx="0" formatCode="General">
                  <c:v>0</c:v>
                </c:pt>
                <c:pt idx="1">
                  <c:v>5.3217422931382261</c:v>
                </c:pt>
              </c:numCache>
            </c:numRef>
          </c:xVal>
          <c:yVal>
            <c:numRef>
              <c:f>VYPUST!$P$46:$P$47</c:f>
              <c:numCache>
                <c:formatCode>0.00</c:formatCode>
                <c:ptCount val="2"/>
                <c:pt idx="0">
                  <c:v>389.75</c:v>
                </c:pt>
                <c:pt idx="1">
                  <c:v>389.75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F641-4AC8-93B7-E6EE4BAB93B0}"/>
            </c:ext>
          </c:extLst>
        </c:ser>
        <c:ser>
          <c:idx val="3"/>
          <c:order val="3"/>
          <c:tx>
            <c:strRef>
              <c:f>VYPUST!$O$48</c:f>
              <c:strCache>
                <c:ptCount val="1"/>
                <c:pt idx="0">
                  <c:v>úroveň koruny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xVal>
            <c:numRef>
              <c:f>VYPUST!$O$49:$O$50</c:f>
              <c:numCache>
                <c:formatCode>0.00</c:formatCode>
                <c:ptCount val="2"/>
                <c:pt idx="0" formatCode="General">
                  <c:v>0</c:v>
                </c:pt>
                <c:pt idx="1">
                  <c:v>5.3217422931382261</c:v>
                </c:pt>
              </c:numCache>
            </c:numRef>
          </c:xVal>
          <c:yVal>
            <c:numRef>
              <c:f>VYPUST!$P$49:$P$50</c:f>
              <c:numCache>
                <c:formatCode>0.00</c:formatCode>
                <c:ptCount val="2"/>
                <c:pt idx="0">
                  <c:v>390.5</c:v>
                </c:pt>
                <c:pt idx="1">
                  <c:v>390.5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F641-4AC8-93B7-E6EE4BAB93B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39737040"/>
        <c:axId val="239737432"/>
      </c:scatterChart>
      <c:valAx>
        <c:axId val="23973704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cs-CZ"/>
                  <a:t>Q [m3/s]</a:t>
                </a:r>
              </a:p>
            </c:rich>
          </c:tx>
          <c:layout>
            <c:manualLayout>
              <c:xMode val="edge"/>
              <c:yMode val="edge"/>
              <c:x val="0.4414941375571298"/>
              <c:y val="0.8991373839464096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cs-CZ"/>
            </a:p>
          </c:txPr>
        </c:title>
        <c:numFmt formatCode="0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239737432"/>
        <c:crosses val="autoZero"/>
        <c:crossBetween val="midCat"/>
      </c:valAx>
      <c:valAx>
        <c:axId val="23973743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cs-CZ"/>
                  <a:t>H [m n. m.]</a:t>
                </a:r>
              </a:p>
            </c:rich>
          </c:tx>
          <c:layout>
            <c:manualLayout>
              <c:xMode val="edge"/>
              <c:yMode val="edge"/>
              <c:x val="1.7246014979834839E-2"/>
              <c:y val="0.3499296411477976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cs-CZ"/>
            </a:p>
          </c:txPr>
        </c:title>
        <c:numFmt formatCode="0.00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239737040"/>
        <c:crosses val="autoZero"/>
        <c:crossBetween val="midCat"/>
        <c:majorUnit val="0.1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  <c:userShapes r:id="rId4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0.50149</cdr:x>
      <cdr:y>0.68487</cdr:y>
    </cdr:from>
    <cdr:to>
      <cdr:x>0.95685</cdr:x>
      <cdr:y>0.78472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2545973" y="1552575"/>
          <a:ext cx="2311777" cy="226346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/>
        </a:solidFill>
        <a:ln xmlns:a="http://schemas.openxmlformats.org/drawingml/2006/main">
          <a:solidFill>
            <a:schemeClr val="tx1"/>
          </a:solidFill>
        </a:ln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1000"/>
            <a:t>Kóta koruny bezpečnosního přelivu</a:t>
          </a:r>
        </a:p>
      </cdr:txBody>
    </cdr:sp>
  </cdr:relSizeAnchor>
  <cdr:relSizeAnchor xmlns:cdr="http://schemas.openxmlformats.org/drawingml/2006/chartDrawing">
    <cdr:from>
      <cdr:x>0.73085</cdr:x>
      <cdr:y>0.20896</cdr:y>
    </cdr:from>
    <cdr:to>
      <cdr:x>0.95753</cdr:x>
      <cdr:y>0.31092</cdr:y>
    </cdr:to>
    <cdr:sp macro="" textlink="">
      <cdr:nvSpPr>
        <cdr:cNvPr id="9" name="TextovéPole 1"/>
        <cdr:cNvSpPr txBox="1"/>
      </cdr:nvSpPr>
      <cdr:spPr>
        <a:xfrm xmlns:a="http://schemas.openxmlformats.org/drawingml/2006/main">
          <a:off x="3605972" y="400051"/>
          <a:ext cx="1118428" cy="195222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/>
        </a:solidFill>
        <a:ln xmlns:a="http://schemas.openxmlformats.org/drawingml/2006/main">
          <a:solidFill>
            <a:schemeClr val="tx1"/>
          </a:solidFill>
        </a:ln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 sz="1000"/>
            <a:t>Koruna hráze</a:t>
          </a:r>
        </a:p>
      </cdr:txBody>
    </cdr:sp>
  </cdr:relSizeAnchor>
</c:userShape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D9BDC8-8E9C-4D8A-8ACC-03ADF3CE45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641</TotalTime>
  <Pages>6</Pages>
  <Words>1225</Words>
  <Characters>7230</Characters>
  <Application>Microsoft Office Word</Application>
  <DocSecurity>0</DocSecurity>
  <Lines>60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Vlcek</dc:creator>
  <cp:keywords/>
  <dc:description/>
  <cp:lastModifiedBy>Stich</cp:lastModifiedBy>
  <cp:revision>21</cp:revision>
  <cp:lastPrinted>2019-05-28T16:04:00Z</cp:lastPrinted>
  <dcterms:created xsi:type="dcterms:W3CDTF">2019-03-13T15:20:00Z</dcterms:created>
  <dcterms:modified xsi:type="dcterms:W3CDTF">2019-11-19T15:42:00Z</dcterms:modified>
</cp:coreProperties>
</file>