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7AA8F6E1"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F54ACE">
        <w:rPr>
          <w:rFonts w:cs="Arial"/>
          <w:b/>
          <w:szCs w:val="22"/>
        </w:rPr>
        <w:t>j</w:t>
      </w:r>
    </w:p>
    <w:p w14:paraId="20341B94" w14:textId="57DA6220"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338EF0A1"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D95953">
        <w:rPr>
          <w:rFonts w:eastAsia="Lucida Sans Unicode" w:cs="Arial"/>
          <w:snapToGrid w:val="0"/>
          <w:szCs w:val="22"/>
        </w:rPr>
        <w:t>Ing. Peter Toul</w:t>
      </w:r>
      <w:r w:rsidR="00FC7228">
        <w:rPr>
          <w:rFonts w:eastAsia="Lucida Sans Unicode" w:cs="Arial"/>
          <w:snapToGrid w:val="0"/>
          <w:szCs w:val="22"/>
        </w:rPr>
        <w:t xml:space="preserve">, vedoucí Pobočky </w:t>
      </w:r>
      <w:r w:rsidR="00D95953">
        <w:rPr>
          <w:rFonts w:eastAsia="Lucida Sans Unicode" w:cs="Arial"/>
          <w:snapToGrid w:val="0"/>
          <w:szCs w:val="22"/>
        </w:rPr>
        <w:t>Jeseník</w:t>
      </w:r>
    </w:p>
    <w:p w14:paraId="741CBB41" w14:textId="7240E40A"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D95953">
        <w:rPr>
          <w:rFonts w:eastAsia="Lucida Sans Unicode" w:cs="Arial"/>
          <w:snapToGrid w:val="0"/>
          <w:szCs w:val="22"/>
        </w:rPr>
        <w:t>Tomáš Závora</w:t>
      </w:r>
      <w:r>
        <w:rPr>
          <w:rFonts w:eastAsia="Lucida Sans Unicode" w:cs="Arial"/>
          <w:snapToGrid w:val="0"/>
          <w:szCs w:val="22"/>
        </w:rPr>
        <w:t xml:space="preserve">, Pobočka </w:t>
      </w:r>
      <w:r w:rsidR="00D95953">
        <w:rPr>
          <w:rFonts w:eastAsia="Lucida Sans Unicode" w:cs="Arial"/>
          <w:snapToGrid w:val="0"/>
          <w:szCs w:val="22"/>
        </w:rPr>
        <w:t>Jeseník</w:t>
      </w:r>
    </w:p>
    <w:p w14:paraId="0D48A447" w14:textId="661430CF"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CD01B5">
        <w:rPr>
          <w:rFonts w:eastAsia="Lucida Sans Unicode" w:cs="Arial"/>
          <w:snapToGrid w:val="0"/>
          <w:szCs w:val="22"/>
        </w:rPr>
        <w:t> </w:t>
      </w:r>
      <w:r w:rsidR="00930525" w:rsidRPr="00930525">
        <w:rPr>
          <w:rFonts w:eastAsia="Lucida Sans Unicode" w:cs="Arial"/>
          <w:szCs w:val="22"/>
        </w:rPr>
        <w:t>721 141 390</w:t>
      </w:r>
    </w:p>
    <w:p w14:paraId="36D2EE6B" w14:textId="04D252B3"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D95953">
        <w:rPr>
          <w:rFonts w:eastAsia="Lucida Sans Unicode"/>
          <w:snapToGrid w:val="0"/>
        </w:rPr>
        <w:t>jesenik</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1370F40A"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CF2C38" w:rsidRPr="00CF2C38">
        <w:rPr>
          <w:rFonts w:cs="Arial"/>
          <w:b/>
          <w:spacing w:val="8"/>
          <w:szCs w:val="22"/>
        </w:rPr>
        <w:t xml:space="preserve">PD obnova </w:t>
      </w:r>
      <w:proofErr w:type="spellStart"/>
      <w:r w:rsidR="00CF2C38" w:rsidRPr="00CF2C38">
        <w:rPr>
          <w:rFonts w:cs="Arial"/>
          <w:b/>
          <w:spacing w:val="8"/>
          <w:szCs w:val="22"/>
        </w:rPr>
        <w:t>Hukovických</w:t>
      </w:r>
      <w:proofErr w:type="spellEnd"/>
      <w:r w:rsidR="00CF2C38" w:rsidRPr="00CF2C38">
        <w:rPr>
          <w:rFonts w:cs="Arial"/>
          <w:b/>
          <w:spacing w:val="8"/>
          <w:szCs w:val="22"/>
        </w:rPr>
        <w:t xml:space="preserve"> </w:t>
      </w:r>
      <w:proofErr w:type="gramStart"/>
      <w:r w:rsidR="00CF2C38" w:rsidRPr="00CF2C38">
        <w:rPr>
          <w:rFonts w:cs="Arial"/>
          <w:b/>
          <w:spacing w:val="8"/>
          <w:szCs w:val="22"/>
        </w:rPr>
        <w:t>nádrží - Poldr</w:t>
      </w:r>
      <w:proofErr w:type="gramEnd"/>
      <w:r w:rsidR="00CF2C38" w:rsidRPr="00CF2C38">
        <w:rPr>
          <w:rFonts w:cs="Arial"/>
          <w:b/>
          <w:spacing w:val="8"/>
          <w:szCs w:val="22"/>
        </w:rPr>
        <w:t xml:space="preserve"> 2, VN 3, VN 4, revitalizace </w:t>
      </w:r>
      <w:proofErr w:type="spellStart"/>
      <w:r w:rsidR="00CF2C38" w:rsidRPr="00CF2C38">
        <w:rPr>
          <w:rFonts w:cs="Arial"/>
          <w:b/>
          <w:spacing w:val="8"/>
          <w:szCs w:val="22"/>
        </w:rPr>
        <w:t>Hukovického</w:t>
      </w:r>
      <w:proofErr w:type="spellEnd"/>
      <w:r w:rsidR="00CF2C38" w:rsidRPr="00CF2C38">
        <w:rPr>
          <w:rFonts w:cs="Arial"/>
          <w:b/>
          <w:spacing w:val="8"/>
          <w:szCs w:val="22"/>
        </w:rPr>
        <w:t xml:space="preserve"> potoka, rekonstrukce PC 11</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6F2DDDCD"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D95953">
        <w:rPr>
          <w:rFonts w:ascii="Arial" w:hAnsi="Arial" w:cs="Arial"/>
          <w:bCs/>
          <w:snapToGrid w:val="0"/>
          <w:szCs w:val="22"/>
          <w:u w:val="none"/>
          <w:lang w:val="en-US"/>
        </w:rPr>
        <w:t>O</w:t>
      </w:r>
      <w:r w:rsidR="00D95953" w:rsidRPr="00D95953">
        <w:rPr>
          <w:rFonts w:ascii="Arial" w:hAnsi="Arial" w:cs="Arial"/>
          <w:bCs/>
          <w:snapToGrid w:val="0"/>
          <w:szCs w:val="22"/>
          <w:u w:val="none"/>
          <w:lang w:val="en-US"/>
        </w:rPr>
        <w:t>bnova</w:t>
      </w:r>
      <w:proofErr w:type="spellEnd"/>
      <w:r w:rsidR="00D95953" w:rsidRPr="00D95953">
        <w:rPr>
          <w:rFonts w:ascii="Arial" w:hAnsi="Arial" w:cs="Arial"/>
          <w:bCs/>
          <w:snapToGrid w:val="0"/>
          <w:szCs w:val="22"/>
          <w:u w:val="none"/>
          <w:lang w:val="en-US"/>
        </w:rPr>
        <w:t xml:space="preserve"> </w:t>
      </w:r>
      <w:proofErr w:type="spellStart"/>
      <w:r w:rsidR="00D95953" w:rsidRPr="00D95953">
        <w:rPr>
          <w:rFonts w:ascii="Arial" w:hAnsi="Arial" w:cs="Arial"/>
          <w:bCs/>
          <w:snapToGrid w:val="0"/>
          <w:szCs w:val="22"/>
          <w:u w:val="none"/>
          <w:lang w:val="en-US"/>
        </w:rPr>
        <w:t>Hukovických</w:t>
      </w:r>
      <w:proofErr w:type="spellEnd"/>
      <w:r w:rsidR="00D95953" w:rsidRPr="00D95953">
        <w:rPr>
          <w:rFonts w:ascii="Arial" w:hAnsi="Arial" w:cs="Arial"/>
          <w:bCs/>
          <w:snapToGrid w:val="0"/>
          <w:szCs w:val="22"/>
          <w:u w:val="none"/>
          <w:lang w:val="en-US"/>
        </w:rPr>
        <w:t xml:space="preserve"> </w:t>
      </w:r>
      <w:proofErr w:type="spellStart"/>
      <w:r w:rsidR="00D95953" w:rsidRPr="00D95953">
        <w:rPr>
          <w:rFonts w:ascii="Arial" w:hAnsi="Arial" w:cs="Arial"/>
          <w:bCs/>
          <w:snapToGrid w:val="0"/>
          <w:szCs w:val="22"/>
          <w:u w:val="none"/>
          <w:lang w:val="en-US"/>
        </w:rPr>
        <w:t>nádrží</w:t>
      </w:r>
      <w:proofErr w:type="spellEnd"/>
      <w:r w:rsidR="00D95953" w:rsidRPr="00D95953">
        <w:rPr>
          <w:rFonts w:ascii="Arial" w:hAnsi="Arial" w:cs="Arial"/>
          <w:bCs/>
          <w:snapToGrid w:val="0"/>
          <w:szCs w:val="22"/>
          <w:u w:val="none"/>
          <w:lang w:val="en-US"/>
        </w:rPr>
        <w:t xml:space="preserve"> - </w:t>
      </w:r>
      <w:proofErr w:type="spellStart"/>
      <w:r w:rsidR="00D95953" w:rsidRPr="00D95953">
        <w:rPr>
          <w:rFonts w:ascii="Arial" w:hAnsi="Arial" w:cs="Arial"/>
          <w:bCs/>
          <w:snapToGrid w:val="0"/>
          <w:szCs w:val="22"/>
          <w:u w:val="none"/>
          <w:lang w:val="en-US"/>
        </w:rPr>
        <w:t>Poldr</w:t>
      </w:r>
      <w:proofErr w:type="spellEnd"/>
      <w:r w:rsidR="00D95953" w:rsidRPr="00D95953">
        <w:rPr>
          <w:rFonts w:ascii="Arial" w:hAnsi="Arial" w:cs="Arial"/>
          <w:bCs/>
          <w:snapToGrid w:val="0"/>
          <w:szCs w:val="22"/>
          <w:u w:val="none"/>
          <w:lang w:val="en-US"/>
        </w:rPr>
        <w:t xml:space="preserve"> 2, VN 3, VN 4, </w:t>
      </w:r>
      <w:proofErr w:type="spellStart"/>
      <w:r w:rsidR="00D95953" w:rsidRPr="00D95953">
        <w:rPr>
          <w:rFonts w:ascii="Arial" w:hAnsi="Arial" w:cs="Arial"/>
          <w:bCs/>
          <w:snapToGrid w:val="0"/>
          <w:szCs w:val="22"/>
          <w:u w:val="none"/>
          <w:lang w:val="en-US"/>
        </w:rPr>
        <w:t>revitalizace</w:t>
      </w:r>
      <w:proofErr w:type="spellEnd"/>
      <w:r w:rsidR="00D95953" w:rsidRPr="00D95953">
        <w:rPr>
          <w:rFonts w:ascii="Arial" w:hAnsi="Arial" w:cs="Arial"/>
          <w:bCs/>
          <w:snapToGrid w:val="0"/>
          <w:szCs w:val="22"/>
          <w:u w:val="none"/>
          <w:lang w:val="en-US"/>
        </w:rPr>
        <w:t xml:space="preserve"> </w:t>
      </w:r>
      <w:proofErr w:type="spellStart"/>
      <w:r w:rsidR="00D95953" w:rsidRPr="00D95953">
        <w:rPr>
          <w:rFonts w:ascii="Arial" w:hAnsi="Arial" w:cs="Arial"/>
          <w:bCs/>
          <w:snapToGrid w:val="0"/>
          <w:szCs w:val="22"/>
          <w:u w:val="none"/>
          <w:lang w:val="en-US"/>
        </w:rPr>
        <w:t>Hukovického</w:t>
      </w:r>
      <w:proofErr w:type="spellEnd"/>
      <w:r w:rsidR="00D95953" w:rsidRPr="00D95953">
        <w:rPr>
          <w:rFonts w:ascii="Arial" w:hAnsi="Arial" w:cs="Arial"/>
          <w:bCs/>
          <w:snapToGrid w:val="0"/>
          <w:szCs w:val="22"/>
          <w:u w:val="none"/>
          <w:lang w:val="en-US"/>
        </w:rPr>
        <w:t xml:space="preserve"> </w:t>
      </w:r>
      <w:proofErr w:type="spellStart"/>
      <w:r w:rsidR="00D95953" w:rsidRPr="00D95953">
        <w:rPr>
          <w:rFonts w:ascii="Arial" w:hAnsi="Arial" w:cs="Arial"/>
          <w:bCs/>
          <w:snapToGrid w:val="0"/>
          <w:szCs w:val="22"/>
          <w:u w:val="none"/>
          <w:lang w:val="en-US"/>
        </w:rPr>
        <w:t>potoka</w:t>
      </w:r>
      <w:proofErr w:type="spellEnd"/>
      <w:r w:rsidR="00D95953" w:rsidRPr="00D95953">
        <w:rPr>
          <w:rFonts w:ascii="Arial" w:hAnsi="Arial" w:cs="Arial"/>
          <w:bCs/>
          <w:snapToGrid w:val="0"/>
          <w:szCs w:val="22"/>
          <w:u w:val="none"/>
          <w:lang w:val="en-US"/>
        </w:rPr>
        <w:t xml:space="preserve">, </w:t>
      </w:r>
      <w:proofErr w:type="spellStart"/>
      <w:r w:rsidR="00D95953" w:rsidRPr="00D95953">
        <w:rPr>
          <w:rFonts w:ascii="Arial" w:hAnsi="Arial" w:cs="Arial"/>
          <w:bCs/>
          <w:snapToGrid w:val="0"/>
          <w:szCs w:val="22"/>
          <w:u w:val="none"/>
          <w:lang w:val="en-US"/>
        </w:rPr>
        <w:t>rekonstrukce</w:t>
      </w:r>
      <w:proofErr w:type="spellEnd"/>
      <w:r w:rsidR="00D95953" w:rsidRPr="00D95953">
        <w:rPr>
          <w:rFonts w:ascii="Arial" w:hAnsi="Arial" w:cs="Arial"/>
          <w:bCs/>
          <w:snapToGrid w:val="0"/>
          <w:szCs w:val="22"/>
          <w:u w:val="none"/>
          <w:lang w:val="en-US"/>
        </w:rPr>
        <w:t xml:space="preserve"> PC 11</w:t>
      </w:r>
    </w:p>
    <w:p w14:paraId="20E141FE" w14:textId="5593D689"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D95953">
        <w:rPr>
          <w:rFonts w:ascii="Arial" w:hAnsi="Arial" w:cs="Arial"/>
          <w:bCs/>
          <w:snapToGrid w:val="0"/>
          <w:szCs w:val="22"/>
          <w:u w:val="none"/>
          <w:lang w:val="en-US"/>
        </w:rPr>
        <w:t>Jeseník</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CA0549">
        <w:rPr>
          <w:rFonts w:ascii="Arial" w:hAnsi="Arial" w:cs="Arial"/>
          <w:bCs/>
          <w:snapToGrid w:val="0"/>
          <w:szCs w:val="22"/>
          <w:u w:val="none"/>
          <w:lang w:val="en-US"/>
        </w:rPr>
        <w:t>V</w:t>
      </w:r>
      <w:r w:rsidR="00D95953">
        <w:rPr>
          <w:rFonts w:ascii="Arial" w:hAnsi="Arial" w:cs="Arial"/>
          <w:bCs/>
          <w:snapToGrid w:val="0"/>
          <w:szCs w:val="22"/>
          <w:u w:val="none"/>
          <w:lang w:val="en-US"/>
        </w:rPr>
        <w:t>elká</w:t>
      </w:r>
      <w:proofErr w:type="spellEnd"/>
      <w:r w:rsidR="00D95953">
        <w:rPr>
          <w:rFonts w:ascii="Arial" w:hAnsi="Arial" w:cs="Arial"/>
          <w:bCs/>
          <w:snapToGrid w:val="0"/>
          <w:szCs w:val="22"/>
          <w:u w:val="none"/>
          <w:lang w:val="en-US"/>
        </w:rPr>
        <w:t xml:space="preserve"> </w:t>
      </w:r>
      <w:proofErr w:type="spellStart"/>
      <w:r w:rsidR="00D95953">
        <w:rPr>
          <w:rFonts w:ascii="Arial" w:hAnsi="Arial" w:cs="Arial"/>
          <w:bCs/>
          <w:snapToGrid w:val="0"/>
          <w:szCs w:val="22"/>
          <w:u w:val="none"/>
          <w:lang w:val="en-US"/>
        </w:rPr>
        <w:t>Kraš</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D95953">
        <w:rPr>
          <w:rFonts w:ascii="Arial" w:hAnsi="Arial" w:cs="Arial"/>
          <w:bCs/>
          <w:snapToGrid w:val="0"/>
          <w:szCs w:val="22"/>
          <w:u w:val="none"/>
          <w:lang w:val="en-US"/>
        </w:rPr>
        <w:t>Hukovice</w:t>
      </w:r>
      <w:proofErr w:type="spellEnd"/>
      <w:r w:rsidR="00D95953">
        <w:rPr>
          <w:rFonts w:ascii="Arial" w:hAnsi="Arial" w:cs="Arial"/>
          <w:bCs/>
          <w:snapToGrid w:val="0"/>
          <w:szCs w:val="22"/>
          <w:u w:val="none"/>
          <w:lang w:val="en-US"/>
        </w:rPr>
        <w:t xml:space="preserve"> u </w:t>
      </w:r>
      <w:proofErr w:type="spellStart"/>
      <w:r w:rsidR="00D95953">
        <w:rPr>
          <w:rFonts w:ascii="Arial" w:hAnsi="Arial" w:cs="Arial"/>
          <w:bCs/>
          <w:snapToGrid w:val="0"/>
          <w:szCs w:val="22"/>
          <w:u w:val="none"/>
          <w:lang w:val="en-US"/>
        </w:rPr>
        <w:t>Velké</w:t>
      </w:r>
      <w:proofErr w:type="spellEnd"/>
      <w:r w:rsidR="00D95953">
        <w:rPr>
          <w:rFonts w:ascii="Arial" w:hAnsi="Arial" w:cs="Arial"/>
          <w:bCs/>
          <w:snapToGrid w:val="0"/>
          <w:szCs w:val="22"/>
          <w:u w:val="none"/>
          <w:lang w:val="en-US"/>
        </w:rPr>
        <w:t xml:space="preserve"> </w:t>
      </w:r>
      <w:proofErr w:type="spellStart"/>
      <w:r w:rsidR="00D95953">
        <w:rPr>
          <w:rFonts w:ascii="Arial" w:hAnsi="Arial" w:cs="Arial"/>
          <w:bCs/>
          <w:snapToGrid w:val="0"/>
          <w:szCs w:val="22"/>
          <w:u w:val="none"/>
          <w:lang w:val="en-US"/>
        </w:rPr>
        <w:t>Kraše</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3F3FD8E8" w14:textId="139F57C3" w:rsidR="00D95953" w:rsidRPr="00D95953" w:rsidRDefault="00A86610" w:rsidP="00D95953">
      <w:pPr>
        <w:pStyle w:val="Bezmezer"/>
        <w:spacing w:line="288" w:lineRule="auto"/>
        <w:ind w:left="709"/>
        <w:rPr>
          <w:rStyle w:val="l-L2Char"/>
          <w:szCs w:val="22"/>
          <w:lang w:eastAsia="en-US"/>
        </w:rPr>
      </w:pPr>
      <w:r w:rsidRPr="002C1794">
        <w:rPr>
          <w:rStyle w:val="l-L2Char"/>
          <w:rFonts w:cs="Arial"/>
          <w:szCs w:val="22"/>
        </w:rPr>
        <w:tab/>
      </w:r>
      <w:r w:rsidR="00D95953" w:rsidRPr="00D95953">
        <w:rPr>
          <w:rStyle w:val="l-L2Char"/>
          <w:szCs w:val="22"/>
          <w:lang w:eastAsia="en-US"/>
        </w:rPr>
        <w:t>SO 01 – Rekonstrukce nádrže Poldr 2</w:t>
      </w:r>
    </w:p>
    <w:p w14:paraId="0F711BD1" w14:textId="77777777" w:rsidR="00D95953" w:rsidRPr="00D95953" w:rsidRDefault="00D95953" w:rsidP="00D95953">
      <w:pPr>
        <w:pStyle w:val="Bezmezer"/>
        <w:spacing w:line="288" w:lineRule="auto"/>
        <w:ind w:left="708" w:firstLine="708"/>
        <w:rPr>
          <w:rStyle w:val="l-L2Char"/>
          <w:szCs w:val="22"/>
          <w:lang w:eastAsia="en-US"/>
        </w:rPr>
      </w:pPr>
      <w:r w:rsidRPr="00D95953">
        <w:rPr>
          <w:rStyle w:val="l-L2Char"/>
          <w:szCs w:val="22"/>
          <w:lang w:eastAsia="en-US"/>
        </w:rPr>
        <w:t>SO 02 – Rekonstrukce vodní nádrže VN3</w:t>
      </w:r>
    </w:p>
    <w:p w14:paraId="0144EB1C" w14:textId="77777777" w:rsidR="00D95953" w:rsidRPr="00D95953" w:rsidRDefault="00D95953" w:rsidP="00D95953">
      <w:pPr>
        <w:pStyle w:val="Bezmezer"/>
        <w:spacing w:line="288" w:lineRule="auto"/>
        <w:ind w:left="708" w:firstLine="708"/>
        <w:rPr>
          <w:rStyle w:val="l-L2Char"/>
          <w:szCs w:val="22"/>
          <w:lang w:eastAsia="en-US"/>
        </w:rPr>
      </w:pPr>
      <w:r w:rsidRPr="00D95953">
        <w:rPr>
          <w:rStyle w:val="l-L2Char"/>
          <w:szCs w:val="22"/>
          <w:lang w:eastAsia="en-US"/>
        </w:rPr>
        <w:t>SO 03 - Rekonstrukce vodní nádrže VN4</w:t>
      </w:r>
    </w:p>
    <w:p w14:paraId="4BFC3DE7" w14:textId="77777777" w:rsidR="00D95953" w:rsidRPr="00D95953" w:rsidRDefault="00D95953" w:rsidP="00D95953">
      <w:pPr>
        <w:pStyle w:val="Bezmezer"/>
        <w:spacing w:line="288" w:lineRule="auto"/>
        <w:ind w:left="708" w:firstLine="708"/>
        <w:rPr>
          <w:rStyle w:val="l-L2Char"/>
          <w:szCs w:val="22"/>
          <w:lang w:eastAsia="en-US"/>
        </w:rPr>
      </w:pPr>
      <w:r w:rsidRPr="00D95953">
        <w:rPr>
          <w:rStyle w:val="l-L2Char"/>
          <w:szCs w:val="22"/>
          <w:lang w:eastAsia="en-US"/>
        </w:rPr>
        <w:t xml:space="preserve">SO 04 – Revitalizace </w:t>
      </w:r>
      <w:proofErr w:type="spellStart"/>
      <w:r w:rsidRPr="00D95953">
        <w:rPr>
          <w:rStyle w:val="l-L2Char"/>
          <w:szCs w:val="22"/>
          <w:lang w:eastAsia="en-US"/>
        </w:rPr>
        <w:t>Hukovického</w:t>
      </w:r>
      <w:proofErr w:type="spellEnd"/>
      <w:r w:rsidRPr="00D95953">
        <w:rPr>
          <w:rStyle w:val="l-L2Char"/>
          <w:szCs w:val="22"/>
          <w:lang w:eastAsia="en-US"/>
        </w:rPr>
        <w:t xml:space="preserve"> potoka</w:t>
      </w:r>
    </w:p>
    <w:p w14:paraId="1BCF85AA" w14:textId="26DFB19E" w:rsidR="009806AC" w:rsidRPr="009806AC" w:rsidRDefault="00D95953" w:rsidP="00D95953">
      <w:pPr>
        <w:pStyle w:val="Bezmezer"/>
        <w:spacing w:line="288" w:lineRule="auto"/>
        <w:ind w:left="708" w:firstLine="708"/>
        <w:rPr>
          <w:rStyle w:val="l-L2Char"/>
          <w:szCs w:val="22"/>
          <w:lang w:eastAsia="en-US"/>
        </w:rPr>
      </w:pPr>
      <w:r w:rsidRPr="00D95953">
        <w:rPr>
          <w:rStyle w:val="l-L2Char"/>
          <w:szCs w:val="22"/>
          <w:lang w:eastAsia="en-US"/>
        </w:rPr>
        <w:t>SO 05 – Rekonstrukce polní cesty C11</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lastRenderedPageBreak/>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4BBA5C5E"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B32CD0">
        <w:rPr>
          <w:rFonts w:ascii="Arial" w:hAnsi="Arial" w:cs="Arial"/>
          <w:bCs/>
          <w:snapToGrid w:val="0"/>
          <w:szCs w:val="22"/>
        </w:rPr>
        <w:t>0</w:t>
      </w:r>
      <w:r w:rsidR="00A86610" w:rsidRPr="00A86610">
        <w:rPr>
          <w:rFonts w:ascii="Arial" w:hAnsi="Arial" w:cs="Arial"/>
          <w:bCs/>
          <w:snapToGrid w:val="0"/>
          <w:szCs w:val="22"/>
        </w:rPr>
        <w:t>.</w:t>
      </w:r>
      <w:r w:rsidR="00D95953">
        <w:rPr>
          <w:rFonts w:ascii="Arial" w:hAnsi="Arial" w:cs="Arial"/>
          <w:bCs/>
          <w:snapToGrid w:val="0"/>
          <w:szCs w:val="22"/>
        </w:rPr>
        <w:t>04</w:t>
      </w:r>
      <w:r w:rsidR="00A86610" w:rsidRPr="00A86610">
        <w:rPr>
          <w:rFonts w:ascii="Arial" w:hAnsi="Arial" w:cs="Arial"/>
          <w:bCs/>
          <w:snapToGrid w:val="0"/>
          <w:szCs w:val="22"/>
        </w:rPr>
        <w:t>.202</w:t>
      </w:r>
      <w:r w:rsidR="00D95953">
        <w:rPr>
          <w:rFonts w:ascii="Arial" w:hAnsi="Arial" w:cs="Arial"/>
          <w:bCs/>
          <w:snapToGrid w:val="0"/>
          <w:szCs w:val="22"/>
        </w:rPr>
        <w:t>3</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2DBAB767"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601B3B">
        <w:rPr>
          <w:rStyle w:val="l-L2Char"/>
          <w:rFonts w:cs="Arial"/>
          <w:b w:val="0"/>
          <w:szCs w:val="22"/>
          <w:u w:val="none"/>
        </w:rPr>
        <w:t>Jeseník</w:t>
      </w:r>
      <w:r w:rsidR="007D4925">
        <w:rPr>
          <w:rStyle w:val="l-L2Char"/>
          <w:rFonts w:cs="Arial"/>
          <w:b w:val="0"/>
          <w:szCs w:val="22"/>
          <w:u w:val="none"/>
        </w:rPr>
        <w:t xml:space="preserve">, </w:t>
      </w:r>
      <w:r w:rsidR="00601B3B">
        <w:rPr>
          <w:rStyle w:val="l-L2Char"/>
          <w:rFonts w:cs="Arial"/>
          <w:b w:val="0"/>
          <w:szCs w:val="22"/>
          <w:u w:val="none"/>
        </w:rPr>
        <w:t>Lipovská 125</w:t>
      </w:r>
      <w:r w:rsidR="007D4925">
        <w:rPr>
          <w:rStyle w:val="l-L2Char"/>
          <w:rFonts w:cs="Arial"/>
          <w:b w:val="0"/>
          <w:szCs w:val="22"/>
          <w:u w:val="none"/>
        </w:rPr>
        <w:t>, 7</w:t>
      </w:r>
      <w:r w:rsidR="00872F8C">
        <w:rPr>
          <w:rStyle w:val="l-L2Char"/>
          <w:rFonts w:cs="Arial"/>
          <w:b w:val="0"/>
          <w:szCs w:val="22"/>
          <w:u w:val="none"/>
        </w:rPr>
        <w:t>9</w:t>
      </w:r>
      <w:r w:rsidR="00601B3B">
        <w:rPr>
          <w:rStyle w:val="l-L2Char"/>
          <w:rFonts w:cs="Arial"/>
          <w:b w:val="0"/>
          <w:szCs w:val="22"/>
          <w:u w:val="none"/>
        </w:rPr>
        <w:t>0</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601B3B">
        <w:rPr>
          <w:rStyle w:val="l-L2Char"/>
          <w:rFonts w:cs="Arial"/>
          <w:b w:val="0"/>
          <w:szCs w:val="22"/>
          <w:u w:val="none"/>
        </w:rPr>
        <w:t>Jesení</w:t>
      </w:r>
      <w:r w:rsidR="00BB4862">
        <w:rPr>
          <w:rStyle w:val="l-L2Char"/>
          <w:rFonts w:cs="Arial"/>
          <w:b w:val="0"/>
          <w:szCs w:val="22"/>
          <w:u w:val="none"/>
        </w:rPr>
        <w:t>k</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459E32F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D95953">
        <w:rPr>
          <w:rStyle w:val="l-L2Char"/>
          <w:rFonts w:cs="Arial"/>
          <w:b w:val="0"/>
          <w:szCs w:val="22"/>
          <w:u w:val="none"/>
        </w:rPr>
        <w:t>Jeseník</w:t>
      </w:r>
      <w:r w:rsidR="008B7457" w:rsidRPr="008B7457">
        <w:rPr>
          <w:rStyle w:val="l-L2Char"/>
          <w:rFonts w:cs="Arial"/>
          <w:b w:val="0"/>
          <w:szCs w:val="22"/>
          <w:u w:val="none"/>
        </w:rPr>
        <w:t xml:space="preserve">, </w:t>
      </w:r>
      <w:r w:rsidR="00D95953">
        <w:rPr>
          <w:rStyle w:val="l-L2Char"/>
          <w:rFonts w:cs="Arial"/>
          <w:b w:val="0"/>
          <w:szCs w:val="22"/>
          <w:u w:val="none"/>
        </w:rPr>
        <w:t>Lipovská 125</w:t>
      </w:r>
      <w:r w:rsidR="008B7457" w:rsidRPr="008B7457">
        <w:rPr>
          <w:rStyle w:val="l-L2Char"/>
          <w:rFonts w:cs="Arial"/>
          <w:b w:val="0"/>
          <w:szCs w:val="22"/>
          <w:u w:val="none"/>
        </w:rPr>
        <w:t>, 7</w:t>
      </w:r>
      <w:r w:rsidR="00872F8C">
        <w:rPr>
          <w:rStyle w:val="l-L2Char"/>
          <w:rFonts w:cs="Arial"/>
          <w:b w:val="0"/>
          <w:szCs w:val="22"/>
          <w:u w:val="none"/>
        </w:rPr>
        <w:t>9</w:t>
      </w:r>
      <w:r w:rsidR="00D95953">
        <w:rPr>
          <w:rStyle w:val="l-L2Char"/>
          <w:rFonts w:cs="Arial"/>
          <w:b w:val="0"/>
          <w:szCs w:val="22"/>
          <w:u w:val="none"/>
        </w:rPr>
        <w:t>0</w:t>
      </w:r>
      <w:r w:rsidR="008B7457" w:rsidRPr="008B7457">
        <w:rPr>
          <w:rStyle w:val="l-L2Char"/>
          <w:rFonts w:cs="Arial"/>
          <w:b w:val="0"/>
          <w:szCs w:val="22"/>
          <w:u w:val="none"/>
        </w:rPr>
        <w:t xml:space="preserve"> 01 </w:t>
      </w:r>
      <w:r w:rsidR="00D95953">
        <w:rPr>
          <w:rStyle w:val="l-L2Char"/>
          <w:rFonts w:cs="Arial"/>
          <w:b w:val="0"/>
          <w:szCs w:val="22"/>
          <w:u w:val="none"/>
        </w:rPr>
        <w:t>Jeseník</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5905150"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3C7993">
        <w:rPr>
          <w:rStyle w:val="l-L2Char"/>
          <w:rFonts w:cs="Arial"/>
          <w:bCs/>
          <w:szCs w:val="22"/>
          <w:highlight w:val="yellow"/>
          <w:u w:val="none"/>
        </w:rPr>
        <w:t xml:space="preserve">60 </w:t>
      </w:r>
      <w:r w:rsidR="00F55051">
        <w:rPr>
          <w:rStyle w:val="l-L2Char"/>
          <w:rFonts w:cs="Arial"/>
          <w:bCs/>
          <w:szCs w:val="22"/>
          <w:highlight w:val="yellow"/>
          <w:u w:val="none"/>
        </w:rPr>
        <w:t>měsíců</w:t>
      </w:r>
      <w:r w:rsidR="00F70DAB" w:rsidRPr="003C7993">
        <w:rPr>
          <w:rStyle w:val="l-L2Char"/>
          <w:rFonts w:cs="Arial"/>
          <w:bCs/>
          <w:szCs w:val="22"/>
          <w:highlight w:val="yellow"/>
          <w:u w:val="none"/>
        </w:rPr>
        <w:t xml:space="preserve"> +</w:t>
      </w:r>
      <w:r w:rsidR="00F70DAB">
        <w:rPr>
          <w:rStyle w:val="l-L2Char"/>
          <w:rFonts w:cs="Arial"/>
          <w:b w:val="0"/>
          <w:szCs w:val="22"/>
          <w:highlight w:val="yellow"/>
          <w:u w:val="none"/>
        </w:rPr>
        <w:t xml:space="preserve"> </w:t>
      </w:r>
      <w:r w:rsidR="00F70DAB" w:rsidRPr="002F6773">
        <w:rPr>
          <w:rFonts w:ascii="Arial" w:hAnsi="Arial" w:cs="Arial"/>
          <w:bCs/>
          <w:snapToGrid w:val="0"/>
          <w:szCs w:val="22"/>
          <w:highlight w:val="yellow"/>
        </w:rPr>
        <w:t>[DOPLNIT]</w:t>
      </w:r>
      <w:r w:rsidR="00F70DAB">
        <w:rPr>
          <w:rFonts w:ascii="Arial" w:hAnsi="Arial" w:cs="Arial"/>
          <w:b w:val="0"/>
          <w:bCs/>
          <w:snapToGrid w:val="0"/>
          <w:szCs w:val="22"/>
          <w:u w:val="none"/>
        </w:rPr>
        <w:t xml:space="preserve"> </w:t>
      </w:r>
      <w:r w:rsidR="00F70DAB" w:rsidRPr="004D5F78">
        <w:rPr>
          <w:rStyle w:val="l-L2Char"/>
          <w:rFonts w:cs="Arial"/>
          <w:b w:val="0"/>
          <w:szCs w:val="22"/>
          <w:u w:val="none"/>
        </w:rPr>
        <w:t>měsíců</w:t>
      </w:r>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4700A30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F55051">
        <w:rPr>
          <w:rStyle w:val="l-L2Char"/>
          <w:rFonts w:cs="Arial"/>
          <w:bCs/>
          <w:szCs w:val="22"/>
          <w:highlight w:val="yellow"/>
          <w:u w:val="none"/>
        </w:rPr>
        <w:t>3</w:t>
      </w:r>
      <w:r w:rsidR="001A448F" w:rsidRPr="00F55051">
        <w:rPr>
          <w:rStyle w:val="l-L2Char"/>
          <w:rFonts w:cs="Arial"/>
          <w:bCs/>
          <w:szCs w:val="22"/>
          <w:highlight w:val="yellow"/>
          <w:u w:val="none"/>
        </w:rPr>
        <w:t>6</w:t>
      </w:r>
      <w:r w:rsidR="009C0AAF" w:rsidRPr="00F55051">
        <w:rPr>
          <w:rStyle w:val="l-L2Char"/>
          <w:rFonts w:cs="Arial"/>
          <w:bCs/>
          <w:szCs w:val="22"/>
          <w:highlight w:val="yellow"/>
          <w:u w:val="none"/>
        </w:rPr>
        <w:t xml:space="preserve"> </w:t>
      </w:r>
      <w:r w:rsidR="001A448F" w:rsidRPr="00F55051">
        <w:rPr>
          <w:rStyle w:val="l-L2Char"/>
          <w:rFonts w:cs="Arial"/>
          <w:bCs/>
          <w:szCs w:val="22"/>
          <w:highlight w:val="yellow"/>
          <w:u w:val="none"/>
        </w:rPr>
        <w:t>měsíců</w:t>
      </w:r>
      <w:r w:rsidR="009C0AAF" w:rsidRPr="00F55051">
        <w:rPr>
          <w:rStyle w:val="l-L2Char"/>
          <w:rFonts w:cs="Arial"/>
          <w:bCs/>
          <w:szCs w:val="22"/>
          <w:highlight w:val="yellow"/>
          <w:u w:val="none"/>
        </w:rPr>
        <w:t xml:space="preserve"> </w:t>
      </w:r>
      <w:r w:rsidR="00DB40C0" w:rsidRPr="00F55051">
        <w:rPr>
          <w:rStyle w:val="l-L2Char"/>
          <w:rFonts w:cs="Arial"/>
          <w:bCs/>
          <w:szCs w:val="22"/>
          <w:highlight w:val="yellow"/>
          <w:u w:val="none"/>
        </w:rPr>
        <w:t>+</w:t>
      </w:r>
      <w:r w:rsidR="00DB40C0" w:rsidRPr="001A448F">
        <w:rPr>
          <w:rStyle w:val="l-L2Char"/>
          <w:rFonts w:cs="Arial"/>
          <w:bCs/>
          <w:szCs w:val="22"/>
          <w:highlight w:val="yellow"/>
          <w:u w:val="none"/>
        </w:rPr>
        <w:t xml:space="preserve"> </w:t>
      </w:r>
      <w:r w:rsidR="00DB40C0" w:rsidRPr="00431134">
        <w:rPr>
          <w:rStyle w:val="l-L2Char"/>
          <w:rFonts w:cs="Arial"/>
          <w:bCs/>
          <w:szCs w:val="22"/>
          <w:highlight w:val="yellow"/>
          <w:u w:val="none"/>
        </w:rPr>
        <w:t>…</w:t>
      </w:r>
      <w:r w:rsidR="00DB40C0" w:rsidRPr="00D417FB">
        <w:rPr>
          <w:rStyle w:val="l-L2Char"/>
          <w:rFonts w:cs="Arial"/>
          <w:b w:val="0"/>
          <w:szCs w:val="22"/>
          <w:highlight w:val="yellow"/>
          <w:u w:val="none"/>
        </w:rPr>
        <w:t xml:space="preserve"> </w:t>
      </w:r>
      <w:r w:rsidR="00DB40C0" w:rsidRPr="002F6773">
        <w:rPr>
          <w:rFonts w:ascii="Arial" w:hAnsi="Arial" w:cs="Arial"/>
          <w:bCs/>
          <w:snapToGrid w:val="0"/>
          <w:szCs w:val="22"/>
          <w:highlight w:val="yellow"/>
        </w:rPr>
        <w:t>[DOPLNIT]</w:t>
      </w:r>
      <w:r w:rsidR="00DB40C0">
        <w:rPr>
          <w:rFonts w:ascii="Arial" w:hAnsi="Arial" w:cs="Arial"/>
          <w:b w:val="0"/>
          <w:bCs/>
          <w:snapToGrid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776D0E">
        <w:rPr>
          <w:rFonts w:ascii="Arial" w:hAnsi="Arial" w:cs="Arial"/>
          <w:b w:val="0"/>
          <w:iCs/>
          <w:szCs w:val="22"/>
          <w:u w:val="none"/>
        </w:rPr>
        <w:lastRenderedPageBreak/>
        <w:t xml:space="preserve">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lastRenderedPageBreak/>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3EDE70EF"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3552B5">
        <w:rPr>
          <w:rStyle w:val="l-L2Char"/>
          <w:szCs w:val="22"/>
          <w:lang w:eastAsia="en-US"/>
        </w:rPr>
        <w:t>Tomáš Závora</w:t>
      </w:r>
    </w:p>
    <w:p w14:paraId="5818A046" w14:textId="2CEC0C4F"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3552B5" w:rsidRPr="003552B5">
        <w:rPr>
          <w:rFonts w:eastAsia="Lucida Sans Unicode" w:cs="Arial"/>
          <w:snapToGrid w:val="0"/>
          <w:szCs w:val="22"/>
        </w:rPr>
        <w:t>721 141 390</w:t>
      </w:r>
    </w:p>
    <w:p w14:paraId="43C977F1" w14:textId="673C3261"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r w:rsidR="003552B5">
        <w:rPr>
          <w:rFonts w:cs="Arial"/>
          <w:szCs w:val="22"/>
        </w:rPr>
        <w:t>t</w:t>
      </w:r>
      <w:r w:rsidR="000F14DC">
        <w:rPr>
          <w:rFonts w:cs="Arial"/>
          <w:szCs w:val="22"/>
        </w:rPr>
        <w:t>.</w:t>
      </w:r>
      <w:r w:rsidR="003552B5">
        <w:rPr>
          <w:rFonts w:cs="Arial"/>
          <w:szCs w:val="22"/>
        </w:rPr>
        <w:t>zavora</w:t>
      </w:r>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w:t>
      </w:r>
      <w:r w:rsidRPr="00776D0E">
        <w:rPr>
          <w:rStyle w:val="l-L2Char"/>
          <w:rFonts w:cs="Arial"/>
          <w:b w:val="0"/>
          <w:szCs w:val="22"/>
          <w:u w:val="none"/>
        </w:rPr>
        <w:lastRenderedPageBreak/>
        <w:t>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1D1AA7BD" w14:textId="22A1D195" w:rsidR="008C2D0A" w:rsidRDefault="008C2D0A" w:rsidP="00655C72">
      <w:pPr>
        <w:pStyle w:val="Bezmezer"/>
        <w:ind w:left="492"/>
        <w:jc w:val="both"/>
        <w:rPr>
          <w:rFonts w:cs="Arial"/>
          <w:lang w:val="x-none"/>
        </w:rPr>
      </w:pPr>
    </w:p>
    <w:p w14:paraId="451D92D2" w14:textId="77777777" w:rsidR="00011A48" w:rsidRPr="008B0011" w:rsidRDefault="00011A48" w:rsidP="00011A48">
      <w:pPr>
        <w:pStyle w:val="Bezmezer"/>
        <w:spacing w:line="288" w:lineRule="auto"/>
        <w:ind w:firstLine="492"/>
        <w:rPr>
          <w:b/>
          <w:bCs/>
        </w:rPr>
      </w:pPr>
      <w:r w:rsidRPr="008B0011">
        <w:rPr>
          <w:b/>
          <w:bCs/>
        </w:rPr>
        <w:t>SO 01 – Rekonstrukce nádrže Poldr 2</w:t>
      </w:r>
    </w:p>
    <w:p w14:paraId="1A964D5F" w14:textId="77777777" w:rsidR="00011A48" w:rsidRPr="008B0011" w:rsidRDefault="00011A48" w:rsidP="00011A48">
      <w:pPr>
        <w:autoSpaceDE w:val="0"/>
        <w:autoSpaceDN w:val="0"/>
        <w:adjustRightInd w:val="0"/>
        <w:spacing w:after="0" w:line="240" w:lineRule="auto"/>
        <w:ind w:left="492"/>
        <w:jc w:val="both"/>
      </w:pPr>
      <w:r w:rsidRPr="008B0011">
        <w:t>Poldr 2 – tato vodní nádrž je navrhována jako polosuchá nádrž, která bude podchytávat a transformovat výraznou část povodňové vlny Q100 = 3,98 m3/s (dále jen PV) o objemu PV 42 900 m3. Vzhledem k tomu, že poloha stávající hráze a tvar terénu zátopy je méně vhodný ve vztahu k potřebné transformaci PV, navrhuje se polohová změna hráze tak, aby se docílilo maximální možné transformace PV. Posouzení transformace PV se provedlo cca v pěti variantách a jako optimální řešení se navrhuje spodní výpust v profilu DN600 a přelivná hrana bezpečnostního přelivu v celkové délce 22 m.</w:t>
      </w:r>
    </w:p>
    <w:p w14:paraId="1322E924" w14:textId="77777777" w:rsidR="00011A48" w:rsidRPr="008B0011" w:rsidRDefault="00011A48" w:rsidP="00011A48">
      <w:pPr>
        <w:autoSpaceDE w:val="0"/>
        <w:autoSpaceDN w:val="0"/>
        <w:adjustRightInd w:val="0"/>
        <w:spacing w:after="0" w:line="240" w:lineRule="auto"/>
        <w:ind w:left="492"/>
        <w:jc w:val="both"/>
      </w:pPr>
      <w:r w:rsidRPr="008B0011">
        <w:t xml:space="preserve">K odvádění průtoků spodní výpustí a k převedení kontrolního návrhového průtoku se navrhuje konstrukce objektu funkčního bloku, který sdružuje jak spodní výpust, tak i bezpečnostní přeliv. Konstrukční řešení funkčního bloku je zřejmá z doloženého vzorového výkresu rekonstrukce hráze. Samotnou hráz se navrhuje polohově přesunout níže po proudu (viz doložená situace), stávající hráz se celá rozebere. Hráz se navrhuje řešit jako homogenní, na vzdušné straně paty hráze bude zřízen odvodňovací trativod. Opevnění hráze bude travním drnem, po koruně hráze povede polní cesta </w:t>
      </w:r>
      <w:proofErr w:type="gramStart"/>
      <w:r w:rsidRPr="008B0011">
        <w:t>C111</w:t>
      </w:r>
      <w:proofErr w:type="gramEnd"/>
      <w:r w:rsidRPr="008B0011">
        <w:t xml:space="preserve"> a proto se šířka koruny hráze navrhuje 5,0 m.</w:t>
      </w:r>
    </w:p>
    <w:p w14:paraId="3D56C353" w14:textId="77777777" w:rsidR="00011A48" w:rsidRPr="008B0011" w:rsidRDefault="00011A48" w:rsidP="00011A48">
      <w:pPr>
        <w:autoSpaceDE w:val="0"/>
        <w:autoSpaceDN w:val="0"/>
        <w:adjustRightInd w:val="0"/>
        <w:spacing w:after="0" w:line="240" w:lineRule="auto"/>
        <w:ind w:left="492"/>
        <w:jc w:val="both"/>
      </w:pPr>
      <w:r w:rsidRPr="008B0011">
        <w:t>Navrhovaný sklon návodní strany hráze je uvažován 1:3,7, vzdušná strana hráze bude ve sklonu 1:2,2.</w:t>
      </w:r>
    </w:p>
    <w:p w14:paraId="4490184D" w14:textId="77777777" w:rsidR="00011A48" w:rsidRPr="008B0011" w:rsidRDefault="00011A48" w:rsidP="00011A48">
      <w:pPr>
        <w:autoSpaceDE w:val="0"/>
        <w:autoSpaceDN w:val="0"/>
        <w:adjustRightInd w:val="0"/>
        <w:spacing w:after="0" w:line="240" w:lineRule="auto"/>
        <w:ind w:firstLine="492"/>
        <w:jc w:val="both"/>
      </w:pPr>
      <w:r w:rsidRPr="008B0011">
        <w:t>Obecně bude při návrhu dodržena norma ČSN 75 2410 a související normy.</w:t>
      </w:r>
    </w:p>
    <w:p w14:paraId="670110F2" w14:textId="77777777" w:rsidR="00011A48" w:rsidRDefault="00011A48" w:rsidP="00011A48">
      <w:pPr>
        <w:autoSpaceDE w:val="0"/>
        <w:autoSpaceDN w:val="0"/>
        <w:adjustRightInd w:val="0"/>
        <w:spacing w:after="0" w:line="240" w:lineRule="auto"/>
        <w:rPr>
          <w:rFonts w:ascii="Times New Roman" w:eastAsiaTheme="minorHAnsi" w:hAnsi="Times New Roman"/>
          <w:color w:val="000000"/>
          <w:sz w:val="24"/>
          <w:lang w:eastAsia="en-US"/>
        </w:rPr>
      </w:pPr>
    </w:p>
    <w:p w14:paraId="2EF3FEFD" w14:textId="77777777" w:rsidR="00011A48" w:rsidRPr="008B0011" w:rsidRDefault="00011A48" w:rsidP="00FB274B">
      <w:pPr>
        <w:autoSpaceDE w:val="0"/>
        <w:autoSpaceDN w:val="0"/>
        <w:adjustRightInd w:val="0"/>
        <w:spacing w:after="0" w:line="240" w:lineRule="auto"/>
        <w:ind w:firstLine="492"/>
        <w:rPr>
          <w:b/>
          <w:bCs/>
        </w:rPr>
      </w:pPr>
      <w:r w:rsidRPr="008B0011">
        <w:rPr>
          <w:b/>
          <w:bCs/>
        </w:rPr>
        <w:t>SO 02 Vodní nádrž VN3</w:t>
      </w:r>
    </w:p>
    <w:p w14:paraId="6189F90A" w14:textId="77777777" w:rsidR="00011A48" w:rsidRPr="008B0011" w:rsidRDefault="00011A48" w:rsidP="00FB274B">
      <w:pPr>
        <w:autoSpaceDE w:val="0"/>
        <w:autoSpaceDN w:val="0"/>
        <w:adjustRightInd w:val="0"/>
        <w:spacing w:after="0" w:line="240" w:lineRule="auto"/>
        <w:ind w:left="492"/>
        <w:jc w:val="both"/>
      </w:pPr>
      <w:r w:rsidRPr="008B0011">
        <w:t>Vodní nádrž VN3 – jedná se o stávající vodní nádrž, využívanou jako extenzivní rybníček. Protože kvalita hráze a spodní výpustě neodpovídá technickým standardům, navrhuje se celková rekonstrukce spodní výpustě a rekonstrukce hráze. Stávající hráz bude částečně odtěžena jak na návodní, tak i na vzdušné straně hráze a provede se nové dosypání hráze tak, aby se docílilo normových parametrů. Na vzdušné straně se v patě hráze zřídí odvodňovací trativod. Současně s rekonstrukcí hráze se provede i rekonstrukce spodní výpustě – návrh řešení je patrný z doložené přílohy rekonstrukce hráze VN3. Koruna hráze bude široká 5,0 m a bude zpevněna tak, aby byl zajištěn pojezd hráze a umožněn vjezd do lesa na pravé straně údolí. Navrhovaný sklon návodní strany hráze je uvažován 1:3,7, vzdušná strana hráze bude ve sklonu 1:2,2.</w:t>
      </w:r>
    </w:p>
    <w:p w14:paraId="0523D944" w14:textId="77777777" w:rsidR="00011A48" w:rsidRPr="008B0011" w:rsidRDefault="00011A48" w:rsidP="00FB274B">
      <w:pPr>
        <w:autoSpaceDE w:val="0"/>
        <w:autoSpaceDN w:val="0"/>
        <w:adjustRightInd w:val="0"/>
        <w:spacing w:after="0" w:line="240" w:lineRule="auto"/>
        <w:ind w:left="492"/>
        <w:jc w:val="both"/>
      </w:pPr>
      <w:r w:rsidRPr="008B0011">
        <w:t xml:space="preserve">Spodní výpust bude v profilu DN800, nátok bude řešen objektem požerákového typu z betonu, hrazení se pak navrhuje dvojitou </w:t>
      </w:r>
      <w:proofErr w:type="spellStart"/>
      <w:r w:rsidRPr="008B0011">
        <w:t>dlužovou</w:t>
      </w:r>
      <w:proofErr w:type="spellEnd"/>
      <w:r w:rsidRPr="008B0011">
        <w:t xml:space="preserve"> stěnou s jílovitým těsněním. Vyústění potrubí spodní výpustě bude řešeno pomocí </w:t>
      </w:r>
      <w:proofErr w:type="spellStart"/>
      <w:r w:rsidRPr="008B0011">
        <w:t>výústního</w:t>
      </w:r>
      <w:proofErr w:type="spellEnd"/>
      <w:r w:rsidRPr="008B0011">
        <w:t xml:space="preserve"> objektu s návazným opevněním koryta toku. Vzhledem k tomu, že konfigurace terénu a celkové uspořádání zařízení nádrže a cestní sítě neumožňuje jednoduchým způsobem provést obtok kontrolního průtoku, bezpečnostní přeliv je řešen jako čelní přepad přes levou část snížené úrovně hráze. Celý přeliv bude zpevněn kamennou dlažbou do betonu a kamennou rovnaninou. Kontrolní návrhový průtok byl vyčíslen na Q = 1,93 m3/s za předpokladu, že bude realizován poldr 2.</w:t>
      </w:r>
    </w:p>
    <w:p w14:paraId="4B52B701" w14:textId="77777777" w:rsidR="00011A48" w:rsidRDefault="00011A48" w:rsidP="00011A48">
      <w:pPr>
        <w:autoSpaceDE w:val="0"/>
        <w:autoSpaceDN w:val="0"/>
        <w:adjustRightInd w:val="0"/>
        <w:spacing w:after="0" w:line="240" w:lineRule="auto"/>
        <w:jc w:val="both"/>
        <w:rPr>
          <w:rFonts w:ascii="Times New Roman" w:eastAsiaTheme="minorHAnsi" w:hAnsi="Times New Roman"/>
          <w:color w:val="000000"/>
          <w:sz w:val="24"/>
          <w:lang w:eastAsia="en-US"/>
        </w:rPr>
      </w:pPr>
    </w:p>
    <w:p w14:paraId="3F438F22" w14:textId="5FCEDAED" w:rsidR="00011A48" w:rsidRDefault="00011A48" w:rsidP="00011A48">
      <w:pPr>
        <w:autoSpaceDE w:val="0"/>
        <w:autoSpaceDN w:val="0"/>
        <w:adjustRightInd w:val="0"/>
        <w:spacing w:after="0" w:line="240" w:lineRule="auto"/>
        <w:jc w:val="both"/>
        <w:rPr>
          <w:rFonts w:ascii="Times New Roman" w:eastAsiaTheme="minorHAnsi" w:hAnsi="Times New Roman"/>
          <w:color w:val="000000"/>
          <w:sz w:val="24"/>
          <w:lang w:eastAsia="en-US"/>
        </w:rPr>
      </w:pPr>
    </w:p>
    <w:p w14:paraId="1DB1AB10" w14:textId="77777777" w:rsidR="00FB274B" w:rsidRDefault="00FB274B" w:rsidP="00011A48">
      <w:pPr>
        <w:autoSpaceDE w:val="0"/>
        <w:autoSpaceDN w:val="0"/>
        <w:adjustRightInd w:val="0"/>
        <w:spacing w:after="0" w:line="240" w:lineRule="auto"/>
        <w:jc w:val="both"/>
        <w:rPr>
          <w:rFonts w:ascii="Times New Roman" w:eastAsiaTheme="minorHAnsi" w:hAnsi="Times New Roman"/>
          <w:color w:val="000000"/>
          <w:sz w:val="24"/>
          <w:lang w:eastAsia="en-US"/>
        </w:rPr>
      </w:pPr>
    </w:p>
    <w:p w14:paraId="1DD6E92A" w14:textId="77777777" w:rsidR="00011A48" w:rsidRPr="008B0011" w:rsidRDefault="00011A48" w:rsidP="00FB274B">
      <w:pPr>
        <w:autoSpaceDE w:val="0"/>
        <w:autoSpaceDN w:val="0"/>
        <w:adjustRightInd w:val="0"/>
        <w:spacing w:after="0" w:line="240" w:lineRule="auto"/>
        <w:ind w:firstLine="492"/>
        <w:jc w:val="both"/>
        <w:rPr>
          <w:b/>
          <w:bCs/>
        </w:rPr>
      </w:pPr>
      <w:r w:rsidRPr="008B0011">
        <w:rPr>
          <w:b/>
          <w:bCs/>
        </w:rPr>
        <w:lastRenderedPageBreak/>
        <w:t>SO 03 Vodní nádrž VN4</w:t>
      </w:r>
    </w:p>
    <w:p w14:paraId="58BBB39E" w14:textId="77777777" w:rsidR="00011A48" w:rsidRDefault="00011A48" w:rsidP="00011A48">
      <w:pPr>
        <w:autoSpaceDE w:val="0"/>
        <w:autoSpaceDN w:val="0"/>
        <w:adjustRightInd w:val="0"/>
        <w:spacing w:after="0" w:line="240" w:lineRule="auto"/>
        <w:rPr>
          <w:rFonts w:ascii="Times New Roman" w:eastAsiaTheme="minorHAnsi" w:hAnsi="Times New Roman"/>
          <w:color w:val="000000"/>
          <w:sz w:val="24"/>
          <w:lang w:eastAsia="en-US"/>
        </w:rPr>
      </w:pPr>
    </w:p>
    <w:p w14:paraId="33E6998D" w14:textId="77777777" w:rsidR="00011A48" w:rsidRPr="008B0011" w:rsidRDefault="00011A48" w:rsidP="00FB274B">
      <w:pPr>
        <w:autoSpaceDE w:val="0"/>
        <w:autoSpaceDN w:val="0"/>
        <w:adjustRightInd w:val="0"/>
        <w:spacing w:after="0" w:line="240" w:lineRule="auto"/>
        <w:ind w:left="492"/>
        <w:jc w:val="both"/>
      </w:pPr>
      <w:r w:rsidRPr="008B0011">
        <w:t>Vodní nádrž VN4 – obdobně jako u VN3 se jedná o stávající vodní nádrž, využívanou jako extenzivní rybníček. Protože kvalita hráze a spodní výpustě neodpovídá technickým standardům, navrhuje se celková rekonstrukce spodní výpustě a rekonstrukce hráze. Stávající hráz bude částečně odtěžena jak na návodní, tak i na vzdušné straně hráze a provede se nové dosypání hráze tak, aby se docílilo normových parametrů. Na vzdušné straně se v patě hráze zřídí odvodňovací trativod. Současně s rekonstrukcí hráze se provede i rekonstrukce spodní výpustě – návrh řešení je patrný z doložené přílohy rekonstrukce hráze VN4. Koruna hráze bude široká 5,0 m a bude zpevněna tak, aby byl zajištěn pojezd hráze a umožněn přístup pro lehkou mechanizaci do lesa na pravé straně údolí. Navrhovaný sklon návodní strany hráze je uvažován 1:3,7, vzdušná strana hráze bude ve sklonu 1:2,2.</w:t>
      </w:r>
    </w:p>
    <w:p w14:paraId="309D984E" w14:textId="77777777" w:rsidR="00011A48" w:rsidRDefault="00011A48" w:rsidP="00FB274B">
      <w:pPr>
        <w:autoSpaceDE w:val="0"/>
        <w:autoSpaceDN w:val="0"/>
        <w:adjustRightInd w:val="0"/>
        <w:spacing w:after="0" w:line="240" w:lineRule="auto"/>
        <w:ind w:left="492"/>
        <w:jc w:val="both"/>
        <w:rPr>
          <w:rFonts w:ascii="Times New Roman" w:eastAsiaTheme="minorHAnsi" w:hAnsi="Times New Roman"/>
          <w:color w:val="000000"/>
          <w:sz w:val="24"/>
          <w:lang w:eastAsia="en-US"/>
        </w:rPr>
      </w:pPr>
      <w:r w:rsidRPr="008B0011">
        <w:t>Vzhledem k tomu, že konfigurace terénu a celkové uspořádání zařízení nádrže a cestní sítě neumožňuje jednoduchým způsobem provést obtok kontrolního průtoku, bezpečnostní přeliv je řešen jako čelní přepad přes levou část snížené úrovně hráze. Celý přeliv bude zpevněn kamennou dlažbou do betonu a kamennou rovnaninou. Kontrolní návrhový průtok byl vyčíslen na Q = 2,29 m3/s za předpokladu, že bude realizován poldr 2</w:t>
      </w:r>
      <w:r>
        <w:rPr>
          <w:rFonts w:ascii="Times New Roman" w:eastAsiaTheme="minorHAnsi" w:hAnsi="Times New Roman"/>
          <w:color w:val="000000"/>
          <w:sz w:val="24"/>
          <w:lang w:eastAsia="en-US"/>
        </w:rPr>
        <w:t>.</w:t>
      </w:r>
    </w:p>
    <w:p w14:paraId="28E8B943" w14:textId="77777777" w:rsidR="00011A48" w:rsidRDefault="00011A48" w:rsidP="00011A48">
      <w:pPr>
        <w:autoSpaceDE w:val="0"/>
        <w:autoSpaceDN w:val="0"/>
        <w:adjustRightInd w:val="0"/>
        <w:spacing w:after="0" w:line="240" w:lineRule="auto"/>
        <w:jc w:val="both"/>
        <w:rPr>
          <w:rFonts w:ascii="Times New Roman" w:eastAsiaTheme="minorHAnsi" w:hAnsi="Times New Roman"/>
          <w:color w:val="000000"/>
          <w:sz w:val="24"/>
          <w:lang w:eastAsia="en-US"/>
        </w:rPr>
      </w:pPr>
    </w:p>
    <w:p w14:paraId="0317F96A" w14:textId="77777777" w:rsidR="00011A48" w:rsidRPr="008B0011" w:rsidRDefault="00011A48" w:rsidP="00DE06E9">
      <w:pPr>
        <w:autoSpaceDE w:val="0"/>
        <w:autoSpaceDN w:val="0"/>
        <w:adjustRightInd w:val="0"/>
        <w:spacing w:after="0" w:line="240" w:lineRule="auto"/>
        <w:ind w:firstLine="492"/>
        <w:rPr>
          <w:b/>
          <w:bCs/>
        </w:rPr>
      </w:pPr>
      <w:r w:rsidRPr="008B0011">
        <w:rPr>
          <w:b/>
          <w:bCs/>
        </w:rPr>
        <w:t xml:space="preserve">SO 04 Revitalizace </w:t>
      </w:r>
      <w:proofErr w:type="spellStart"/>
      <w:r w:rsidRPr="008B0011">
        <w:rPr>
          <w:b/>
          <w:bCs/>
        </w:rPr>
        <w:t>Hukovického</w:t>
      </w:r>
      <w:proofErr w:type="spellEnd"/>
      <w:r w:rsidRPr="008B0011">
        <w:rPr>
          <w:b/>
          <w:bCs/>
        </w:rPr>
        <w:t xml:space="preserve"> potoka</w:t>
      </w:r>
    </w:p>
    <w:p w14:paraId="49C80237" w14:textId="77777777" w:rsidR="00011A48" w:rsidRPr="008B0011" w:rsidRDefault="00011A48" w:rsidP="00DE06E9">
      <w:pPr>
        <w:autoSpaceDE w:val="0"/>
        <w:autoSpaceDN w:val="0"/>
        <w:adjustRightInd w:val="0"/>
        <w:spacing w:after="0" w:line="240" w:lineRule="auto"/>
        <w:ind w:left="492"/>
        <w:jc w:val="both"/>
      </w:pPr>
      <w:r w:rsidRPr="008B0011">
        <w:t xml:space="preserve">Revitalizace </w:t>
      </w:r>
      <w:proofErr w:type="spellStart"/>
      <w:r w:rsidRPr="008B0011">
        <w:t>Hukovického</w:t>
      </w:r>
      <w:proofErr w:type="spellEnd"/>
      <w:r w:rsidRPr="008B0011">
        <w:t xml:space="preserve"> potoka a nivy toku – bude řešeno stavebními objekty SO01.2, SO 02.2 a SO 03.2. V současné době koryto potoka není ve větší míře vyvinuto a průtoky se ve velké míře v území rozlévají v nivě. V rámci revitalizace potoka se navrhuje zrealizovat kynetu toku, která bude převádět průtoky o velikostí Q30d až Q1, to je 175 až 351 l/s a směrovat tyto průtoky do profilů údolí, které jsou pro odvádění vody z území důležité. Větší průtoky se budou volně rozlévat v nivě toku. Konfigurace terénu je taková, že k rozlivu vody mimo údolní nivu (výhledová parcela vodních ploch) nebude docházet. V prvním úseku revitalizace potoka (SO 03.2) v km 0,420 potok přechází zemní val pomoci potrubí DN400, položeného v nejnižším místě území. Protože toto potrubí je částečně zanesené a dá se předpokládat, že i nadále jeho údržba bude náročná, navrhuje se toto nahradit otevřeným úzkým betonovým žlabem – viz výkresová příloha. Tento žlab o šířce cca 80 cm a výšce 1,0 m bude sloužit k „přiškrcení“ průtoků v potoce a tím se zajistí častější rozlivy vody v údolní nivě toku a zajistí se další retardace povodňových průtoků v samotné nivě toku. Vzhledem k tomu, že se jedná o průtočný profil, není uvažováno se zábranou proti pádu. V rámci revitalizace se provede probírka stávajících dřevin a vysadí se nové stromy v druhové skladbě dle stanovištních poměrů. Těmito úpravami se docílí zvýšení biodiverzity území. V údolní nivě se navrhují vyhloubit tůně, které budou neprůtočné a budou hloubkově upraveny tak, aby zde byly plochy s mělkou </w:t>
      </w:r>
      <w:proofErr w:type="gramStart"/>
      <w:r w:rsidRPr="008B0011">
        <w:t>vodou</w:t>
      </w:r>
      <w:proofErr w:type="gramEnd"/>
      <w:r w:rsidRPr="008B0011">
        <w:t xml:space="preserve"> a i hlubší místa, jako kapsy pro přezimování obojživelníků a jiných živočichů. Situování navrhovaných tůní je zřejmé z doložené situace.</w:t>
      </w:r>
    </w:p>
    <w:p w14:paraId="1909E65B" w14:textId="77777777" w:rsidR="00011A48" w:rsidRDefault="00011A48" w:rsidP="00011A48">
      <w:pPr>
        <w:autoSpaceDE w:val="0"/>
        <w:autoSpaceDN w:val="0"/>
        <w:adjustRightInd w:val="0"/>
        <w:spacing w:after="0" w:line="240" w:lineRule="auto"/>
        <w:rPr>
          <w:rFonts w:ascii="Times New Roman" w:eastAsiaTheme="minorHAnsi" w:hAnsi="Times New Roman"/>
          <w:color w:val="000000"/>
          <w:sz w:val="24"/>
          <w:lang w:eastAsia="en-US"/>
        </w:rPr>
      </w:pPr>
    </w:p>
    <w:p w14:paraId="2BD6EA88" w14:textId="77777777" w:rsidR="00011A48" w:rsidRPr="008B0011" w:rsidRDefault="00011A48" w:rsidP="00DE06E9">
      <w:pPr>
        <w:autoSpaceDE w:val="0"/>
        <w:autoSpaceDN w:val="0"/>
        <w:adjustRightInd w:val="0"/>
        <w:spacing w:after="0" w:line="240" w:lineRule="auto"/>
        <w:ind w:firstLine="492"/>
        <w:rPr>
          <w:b/>
          <w:bCs/>
        </w:rPr>
      </w:pPr>
      <w:r w:rsidRPr="008B0011">
        <w:rPr>
          <w:b/>
          <w:bCs/>
        </w:rPr>
        <w:t>Vodohospodářské řešení</w:t>
      </w:r>
    </w:p>
    <w:p w14:paraId="6EF02318" w14:textId="77777777" w:rsidR="00011A48" w:rsidRPr="008B0011" w:rsidRDefault="00011A48" w:rsidP="00DE06E9">
      <w:pPr>
        <w:autoSpaceDE w:val="0"/>
        <w:autoSpaceDN w:val="0"/>
        <w:adjustRightInd w:val="0"/>
        <w:spacing w:after="0" w:line="240" w:lineRule="auto"/>
        <w:ind w:left="492"/>
        <w:jc w:val="both"/>
      </w:pPr>
      <w:r w:rsidRPr="008B0011">
        <w:t xml:space="preserve">Vodohospodářské řešení soustavy vodních nádrží na </w:t>
      </w:r>
      <w:proofErr w:type="spellStart"/>
      <w:r w:rsidRPr="008B0011">
        <w:t>Hukovickém</w:t>
      </w:r>
      <w:proofErr w:type="spellEnd"/>
      <w:r w:rsidRPr="008B0011">
        <w:t xml:space="preserve"> potoce spočívá především v transformaci povodňové vlny Q100 poldrem 2 tak, aby se zredukoval maximální průtok na průtok o velikosti Q10. Vodní nádrže VN3 a VN4 včetně údolní nivy toku se budou rovněž podílet na transformaci PV, ale význam této transformace je spíš okrajový. </w:t>
      </w:r>
    </w:p>
    <w:p w14:paraId="0D7F38B2" w14:textId="77777777" w:rsidR="00011A48" w:rsidRPr="008B0011" w:rsidRDefault="00011A48" w:rsidP="00DE06E9">
      <w:pPr>
        <w:autoSpaceDE w:val="0"/>
        <w:autoSpaceDN w:val="0"/>
        <w:adjustRightInd w:val="0"/>
        <w:spacing w:after="0" w:line="240" w:lineRule="auto"/>
        <w:ind w:left="492"/>
        <w:jc w:val="both"/>
      </w:pPr>
      <w:r w:rsidRPr="008B0011">
        <w:t xml:space="preserve">Poldr 2 – tato vodní nádrž je navrhována jako polosuchá nádrž, která bude podchytávat a transformovat výraznou část povodňové vlny Q100 = 3,98 m3/s (dále jen PV) o objemu PV 42 900 m3. Posouzení transformace PV se provedlo cca v pěti variantách a jako optimální řešení se navrhuje spodní výpust v profilu DN600 a přelivná hrana bezpečnostního přelivu v celkové délce 22 m. Transformace PV je uvedena v čl. 7.2.2.A.2.7 této zpráva. Z výpočtů je patrné, že maximální odtok z poldru 2 bude 1,79 m3/s, což je průtok desetileté vody. Vzhledem ke konfiguraci terénu není možné poldrem výrazněji PV transformovat. Další menší retardace PV bude probíhat ve vodních VN3 a VN4 a v údolní nivě </w:t>
      </w:r>
      <w:proofErr w:type="spellStart"/>
      <w:r w:rsidRPr="008B0011">
        <w:t>Hukovického</w:t>
      </w:r>
      <w:proofErr w:type="spellEnd"/>
      <w:r w:rsidRPr="008B0011">
        <w:t xml:space="preserve"> potoka (VN3 – neovladatelný retenční prostor Ar n = 1076 m3, VN4 – Ar n = 660 m3, niva toku retenční prostor = 1 385 m3, celkový retenční prostor = 3 121 m3).</w:t>
      </w:r>
    </w:p>
    <w:p w14:paraId="64AECA92" w14:textId="77777777" w:rsidR="00011A48" w:rsidRPr="008B0011" w:rsidRDefault="00011A48" w:rsidP="00DE06E9">
      <w:pPr>
        <w:autoSpaceDE w:val="0"/>
        <w:autoSpaceDN w:val="0"/>
        <w:adjustRightInd w:val="0"/>
        <w:spacing w:after="0" w:line="240" w:lineRule="auto"/>
        <w:ind w:left="492"/>
        <w:jc w:val="both"/>
      </w:pPr>
      <w:r w:rsidRPr="008B0011">
        <w:t xml:space="preserve">Maximální přítok ke vtoku do </w:t>
      </w:r>
      <w:proofErr w:type="spellStart"/>
      <w:r w:rsidRPr="008B0011">
        <w:t>zatrubněné</w:t>
      </w:r>
      <w:proofErr w:type="spellEnd"/>
      <w:r w:rsidRPr="008B0011">
        <w:t xml:space="preserve"> části </w:t>
      </w:r>
      <w:proofErr w:type="spellStart"/>
      <w:r w:rsidRPr="008B0011">
        <w:t>Hukovického</w:t>
      </w:r>
      <w:proofErr w:type="spellEnd"/>
      <w:r w:rsidRPr="008B0011">
        <w:t xml:space="preserve"> potoka (zatrubnění pod železnicí) byl vyčíslen po všech retardacích vodními nádržemi a údolní nivou toku na </w:t>
      </w:r>
      <w:proofErr w:type="spellStart"/>
      <w:r w:rsidRPr="008B0011">
        <w:t>Qn</w:t>
      </w:r>
      <w:proofErr w:type="spellEnd"/>
      <w:r w:rsidRPr="008B0011">
        <w:t xml:space="preserve"> = 1,80 m3/s, kapacita potrubí </w:t>
      </w:r>
      <w:proofErr w:type="spellStart"/>
      <w:r w:rsidRPr="008B0011">
        <w:t>zatrubněného</w:t>
      </w:r>
      <w:proofErr w:type="spellEnd"/>
      <w:r w:rsidRPr="008B0011">
        <w:t xml:space="preserve"> úseku </w:t>
      </w:r>
      <w:proofErr w:type="spellStart"/>
      <w:r w:rsidRPr="008B0011">
        <w:t>Hukovického</w:t>
      </w:r>
      <w:proofErr w:type="spellEnd"/>
      <w:r w:rsidRPr="008B0011">
        <w:t xml:space="preserve"> potoka je cca </w:t>
      </w:r>
      <w:proofErr w:type="spellStart"/>
      <w:r w:rsidRPr="008B0011">
        <w:t>Qk</w:t>
      </w:r>
      <w:proofErr w:type="spellEnd"/>
      <w:r w:rsidRPr="008B0011">
        <w:t xml:space="preserve"> = 2,25 až </w:t>
      </w:r>
      <w:r w:rsidRPr="008B0011">
        <w:lastRenderedPageBreak/>
        <w:t xml:space="preserve">2,45 m3/s a minimální kapacita otevřené částí potoka je </w:t>
      </w:r>
      <w:proofErr w:type="spellStart"/>
      <w:r w:rsidRPr="008B0011">
        <w:t>Qk</w:t>
      </w:r>
      <w:proofErr w:type="spellEnd"/>
      <w:r w:rsidRPr="008B0011">
        <w:t xml:space="preserve"> = 2,50 m3/s. Z toho vyplývá, že transformace PV je dostačující a zajistí kapacitu níže položených úseků </w:t>
      </w:r>
      <w:proofErr w:type="spellStart"/>
      <w:r w:rsidRPr="008B0011">
        <w:t>Hukovického</w:t>
      </w:r>
      <w:proofErr w:type="spellEnd"/>
      <w:r w:rsidRPr="008B0011">
        <w:t xml:space="preserve"> potoka.</w:t>
      </w:r>
    </w:p>
    <w:p w14:paraId="209E2EF0" w14:textId="77777777" w:rsidR="00011A48" w:rsidRPr="008B0011" w:rsidRDefault="00011A48" w:rsidP="00DE06E9">
      <w:pPr>
        <w:autoSpaceDE w:val="0"/>
        <w:autoSpaceDN w:val="0"/>
        <w:adjustRightInd w:val="0"/>
        <w:spacing w:after="0" w:line="240" w:lineRule="auto"/>
        <w:ind w:left="492"/>
        <w:jc w:val="both"/>
      </w:pPr>
      <w:r w:rsidRPr="008B0011">
        <w:t xml:space="preserve">Průtokové schéma modelové situace, kde jsou znázorněny přítoky do nádrží, odtoky redukované nádržemi a údolní nivou toku a orientační minimální kapacity úseků </w:t>
      </w:r>
      <w:proofErr w:type="spellStart"/>
      <w:r w:rsidRPr="008B0011">
        <w:t>Hukovického</w:t>
      </w:r>
      <w:proofErr w:type="spellEnd"/>
      <w:r w:rsidRPr="008B0011">
        <w:t xml:space="preserve"> potoka, který leží mimo řešené území </w:t>
      </w:r>
      <w:proofErr w:type="spellStart"/>
      <w:r w:rsidRPr="008B0011">
        <w:t>KoPÚ</w:t>
      </w:r>
      <w:proofErr w:type="spellEnd"/>
      <w:r w:rsidRPr="008B0011">
        <w:t>, je uvedeno na následující straně. Aby tato modelová situace byla reálná, je nutné prvotně zrealizovat stavbu poldru 2.</w:t>
      </w:r>
    </w:p>
    <w:p w14:paraId="6E74062E" w14:textId="77777777" w:rsidR="00011A48" w:rsidRDefault="00011A48" w:rsidP="00011A48">
      <w:pPr>
        <w:jc w:val="both"/>
      </w:pPr>
    </w:p>
    <w:p w14:paraId="741E1502" w14:textId="6881B895" w:rsidR="00011A48" w:rsidRPr="00BC170E" w:rsidRDefault="00011A48" w:rsidP="00DE06E9">
      <w:pPr>
        <w:spacing w:after="0"/>
        <w:ind w:firstLine="492"/>
        <w:rPr>
          <w:b/>
        </w:rPr>
      </w:pPr>
      <w:r w:rsidRPr="00BC170E">
        <w:rPr>
          <w:b/>
        </w:rPr>
        <w:t>SO 02 – Polní cesta C11</w:t>
      </w:r>
    </w:p>
    <w:p w14:paraId="4118E922" w14:textId="77777777" w:rsidR="00011A48" w:rsidRDefault="00011A48" w:rsidP="00DE06E9">
      <w:pPr>
        <w:autoSpaceDE w:val="0"/>
        <w:autoSpaceDN w:val="0"/>
        <w:adjustRightInd w:val="0"/>
        <w:spacing w:after="0" w:line="240" w:lineRule="auto"/>
        <w:ind w:left="492"/>
      </w:pPr>
      <w:r>
        <w:t xml:space="preserve">Kategorie P4/30, povrch štěrk či kamenivo, realizace v dl. cca 373 m, odvodnění příkopem, </w:t>
      </w:r>
      <w:r w:rsidRPr="008B0011">
        <w:t xml:space="preserve">polní cesta stávající, příjezd ke skupině malých vodních nádrží na </w:t>
      </w:r>
      <w:proofErr w:type="spellStart"/>
      <w:r w:rsidRPr="008B0011">
        <w:t>Hukovickém</w:t>
      </w:r>
      <w:proofErr w:type="spellEnd"/>
      <w:r w:rsidRPr="008B0011">
        <w:t xml:space="preserve"> potoce (pod vodojemem) a dále ke </w:t>
      </w:r>
      <w:proofErr w:type="spellStart"/>
      <w:r w:rsidRPr="008B0011">
        <w:t>k.ú</w:t>
      </w:r>
      <w:proofErr w:type="spellEnd"/>
      <w:r w:rsidRPr="008B0011">
        <w:t xml:space="preserve">. Kobylá nad </w:t>
      </w:r>
      <w:proofErr w:type="spellStart"/>
      <w:r w:rsidRPr="008B0011">
        <w:t>Vidnávkou</w:t>
      </w:r>
      <w:proofErr w:type="spellEnd"/>
      <w:r w:rsidRPr="008B0011">
        <w:t xml:space="preserve">. Délka 864 m, dvě výhybny (V5, V6). Odvodnění vozovky do </w:t>
      </w:r>
      <w:proofErr w:type="spellStart"/>
      <w:r w:rsidRPr="008B0011">
        <w:t>Hukovického</w:t>
      </w:r>
      <w:proofErr w:type="spellEnd"/>
      <w:r w:rsidRPr="008B0011">
        <w:t xml:space="preserve"> potoka.</w:t>
      </w:r>
    </w:p>
    <w:p w14:paraId="51E30EC6" w14:textId="77777777" w:rsidR="00AF7B3C" w:rsidRDefault="00AF7B3C" w:rsidP="008C2D0A">
      <w:pPr>
        <w:ind w:firstLine="492"/>
        <w:rPr>
          <w:rFonts w:cs="Arial"/>
          <w:b/>
          <w:bCs/>
        </w:rPr>
      </w:pPr>
    </w:p>
    <w:p w14:paraId="4809B391" w14:textId="77777777" w:rsidR="00F03FBA" w:rsidRPr="00EC5E3E" w:rsidRDefault="00F03FBA" w:rsidP="00F03FBA">
      <w:pPr>
        <w:autoSpaceDE w:val="0"/>
        <w:autoSpaceDN w:val="0"/>
        <w:adjustRightInd w:val="0"/>
        <w:spacing w:after="0" w:line="240" w:lineRule="auto"/>
        <w:ind w:left="1134"/>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495176FD" w14:textId="38E9B9EB" w:rsidR="00075B93" w:rsidRDefault="00075B93" w:rsidP="0074683B">
      <w:pPr>
        <w:jc w:val="both"/>
        <w:rPr>
          <w:rStyle w:val="l-L2Char"/>
          <w:rFonts w:cs="Arial"/>
          <w:szCs w:val="22"/>
        </w:rPr>
      </w:pPr>
    </w:p>
    <w:p w14:paraId="798E42E9" w14:textId="61A9DCFA" w:rsidR="0074683B" w:rsidRDefault="0074683B" w:rsidP="0074683B">
      <w:pPr>
        <w:jc w:val="both"/>
        <w:rPr>
          <w:rStyle w:val="l-L2Char"/>
          <w:rFonts w:cs="Arial"/>
          <w:szCs w:val="22"/>
        </w:rPr>
      </w:pPr>
    </w:p>
    <w:p w14:paraId="4C8F583C" w14:textId="3238C17A" w:rsidR="0074683B" w:rsidRDefault="0074683B" w:rsidP="0074683B">
      <w:pPr>
        <w:jc w:val="both"/>
        <w:rPr>
          <w:rStyle w:val="l-L2Char"/>
          <w:rFonts w:cs="Arial"/>
          <w:szCs w:val="22"/>
        </w:rPr>
      </w:pPr>
    </w:p>
    <w:p w14:paraId="46632A54" w14:textId="655BBD84" w:rsidR="0074683B" w:rsidRDefault="0074683B" w:rsidP="0074683B">
      <w:pPr>
        <w:jc w:val="both"/>
        <w:rPr>
          <w:rStyle w:val="l-L2Char"/>
          <w:rFonts w:cs="Arial"/>
          <w:szCs w:val="22"/>
        </w:rPr>
      </w:pPr>
    </w:p>
    <w:p w14:paraId="0B826B77" w14:textId="25616709" w:rsidR="0074683B" w:rsidRDefault="0074683B" w:rsidP="0074683B">
      <w:pPr>
        <w:jc w:val="both"/>
        <w:rPr>
          <w:rStyle w:val="l-L2Char"/>
          <w:rFonts w:cs="Arial"/>
          <w:szCs w:val="22"/>
        </w:rPr>
      </w:pPr>
    </w:p>
    <w:p w14:paraId="24BA7D97" w14:textId="2170E1F9" w:rsidR="0074683B" w:rsidRDefault="0074683B" w:rsidP="0074683B">
      <w:pPr>
        <w:jc w:val="both"/>
        <w:rPr>
          <w:rStyle w:val="l-L2Char"/>
          <w:rFonts w:cs="Arial"/>
          <w:szCs w:val="22"/>
        </w:rPr>
      </w:pPr>
    </w:p>
    <w:p w14:paraId="0299D851" w14:textId="630C3A25" w:rsidR="0074683B" w:rsidRDefault="0074683B" w:rsidP="0074683B">
      <w:pPr>
        <w:jc w:val="both"/>
        <w:rPr>
          <w:rStyle w:val="l-L2Char"/>
          <w:rFonts w:cs="Arial"/>
          <w:szCs w:val="22"/>
        </w:rPr>
      </w:pPr>
    </w:p>
    <w:p w14:paraId="671F896A" w14:textId="60C79B40" w:rsidR="0074683B" w:rsidRDefault="0074683B" w:rsidP="0074683B">
      <w:pPr>
        <w:jc w:val="both"/>
        <w:rPr>
          <w:rStyle w:val="l-L2Char"/>
          <w:rFonts w:cs="Arial"/>
          <w:szCs w:val="22"/>
        </w:rPr>
      </w:pPr>
    </w:p>
    <w:p w14:paraId="649BDDC2" w14:textId="4A9750D0" w:rsidR="00275AB7" w:rsidRDefault="00275AB7" w:rsidP="0074683B">
      <w:pPr>
        <w:jc w:val="both"/>
        <w:rPr>
          <w:rStyle w:val="l-L2Char"/>
          <w:rFonts w:cs="Arial"/>
          <w:szCs w:val="22"/>
        </w:rPr>
      </w:pPr>
    </w:p>
    <w:p w14:paraId="2A0426A3" w14:textId="7C4B0457" w:rsidR="00275AB7" w:rsidRDefault="00275AB7" w:rsidP="0074683B">
      <w:pPr>
        <w:jc w:val="both"/>
        <w:rPr>
          <w:rStyle w:val="l-L2Char"/>
          <w:rFonts w:cs="Arial"/>
          <w:szCs w:val="22"/>
        </w:rPr>
      </w:pPr>
    </w:p>
    <w:p w14:paraId="64F28898" w14:textId="476F2D53" w:rsidR="00275AB7" w:rsidRDefault="00275AB7" w:rsidP="0074683B">
      <w:pPr>
        <w:jc w:val="both"/>
        <w:rPr>
          <w:rStyle w:val="l-L2Char"/>
          <w:rFonts w:cs="Arial"/>
          <w:szCs w:val="22"/>
        </w:rPr>
      </w:pPr>
    </w:p>
    <w:p w14:paraId="0F2A9788" w14:textId="7003EFBB" w:rsidR="00275AB7" w:rsidRDefault="00275AB7" w:rsidP="0074683B">
      <w:pPr>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53B11B97"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2F1CD3">
        <w:rPr>
          <w:rStyle w:val="l-L2Char"/>
          <w:rFonts w:cs="Arial"/>
          <w:b w:val="0"/>
          <w:szCs w:val="22"/>
        </w:rPr>
        <w:t>Hukovice u Velké Kraše</w:t>
      </w:r>
    </w:p>
    <w:p w14:paraId="08BBC649" w14:textId="5BCB7EBE"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r w:rsidR="002F1CD3" w:rsidRPr="002F1CD3">
        <w:rPr>
          <w:rStyle w:val="l-L2Char"/>
          <w:rFonts w:cs="Arial"/>
          <w:b w:val="0"/>
          <w:szCs w:val="22"/>
          <w:u w:val="none"/>
        </w:rPr>
        <w:t>AGPOL Olomouc s.r.o.</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0D5364B6"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r w:rsidR="002F1CD3" w:rsidRPr="002F1CD3">
        <w:rPr>
          <w:rStyle w:val="l-L2Char"/>
          <w:rFonts w:cs="Arial"/>
          <w:b w:val="0"/>
          <w:szCs w:val="22"/>
          <w:u w:val="none"/>
        </w:rPr>
        <w:t>AGPOL Olomouc s.r.o.</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2F1CD3" w:rsidRPr="002F1CD3">
        <w:rPr>
          <w:rStyle w:val="l-L2Char"/>
          <w:rFonts w:cs="Arial"/>
          <w:b w:val="0"/>
          <w:szCs w:val="22"/>
          <w:u w:val="none"/>
        </w:rPr>
        <w:t>Hukovice u Velké Kraše</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0DA71278"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 xml:space="preserve">V rámci pozemkových úprav </w:t>
      </w:r>
      <w:r w:rsidR="002F1CD3">
        <w:rPr>
          <w:rFonts w:ascii="Arial" w:hAnsi="Arial" w:cs="Arial"/>
          <w:b w:val="0"/>
          <w:szCs w:val="22"/>
          <w:u w:val="none"/>
        </w:rPr>
        <w:t>ne</w:t>
      </w:r>
      <w:r>
        <w:rPr>
          <w:rFonts w:ascii="Arial" w:hAnsi="Arial" w:cs="Arial"/>
          <w:b w:val="0"/>
          <w:szCs w:val="22"/>
          <w:u w:val="none"/>
        </w:rPr>
        <w:t>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3C42DA53"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sidR="00FC3276">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6BBE819C" w:rsidR="00ED6754" w:rsidRDefault="00ED6754" w:rsidP="00ED6754">
      <w:pPr>
        <w:widowControl w:val="0"/>
        <w:suppressAutoHyphens/>
        <w:spacing w:before="120" w:line="276" w:lineRule="auto"/>
        <w:rPr>
          <w:rFonts w:eastAsia="Lucida Sans Unicode" w:cs="Arial"/>
          <w:bCs/>
          <w:szCs w:val="22"/>
        </w:rPr>
      </w:pPr>
    </w:p>
    <w:p w14:paraId="067F2740" w14:textId="5711732D" w:rsidR="00FC3276" w:rsidRDefault="00FC3276" w:rsidP="00ED6754">
      <w:pPr>
        <w:widowControl w:val="0"/>
        <w:suppressAutoHyphens/>
        <w:spacing w:before="120" w:line="276" w:lineRule="auto"/>
        <w:rPr>
          <w:rFonts w:eastAsia="Lucida Sans Unicode" w:cs="Arial"/>
          <w:bCs/>
          <w:szCs w:val="22"/>
        </w:rPr>
      </w:pPr>
    </w:p>
    <w:p w14:paraId="537C76A3" w14:textId="77777777" w:rsidR="00FC3276" w:rsidRDefault="00FC3276" w:rsidP="00ED6754">
      <w:pPr>
        <w:widowControl w:val="0"/>
        <w:suppressAutoHyphens/>
        <w:spacing w:before="120" w:line="276" w:lineRule="auto"/>
        <w:rPr>
          <w:rFonts w:eastAsia="Lucida Sans Unicode" w:cs="Arial"/>
          <w:bCs/>
          <w:szCs w:val="22"/>
        </w:rPr>
      </w:pPr>
    </w:p>
    <w:p w14:paraId="708584AD" w14:textId="5F77AF69" w:rsidR="00FC3276" w:rsidRPr="00FC3276" w:rsidRDefault="00FC3276" w:rsidP="00FC3276">
      <w:pPr>
        <w:pStyle w:val="Odstavecseseznamem"/>
        <w:widowControl w:val="0"/>
        <w:numPr>
          <w:ilvl w:val="1"/>
          <w:numId w:val="4"/>
        </w:numPr>
        <w:spacing w:before="37" w:after="0" w:line="240" w:lineRule="auto"/>
        <w:outlineLvl w:val="0"/>
        <w:rPr>
          <w:rFonts w:eastAsia="Calibri" w:cs="Arial"/>
          <w:szCs w:val="22"/>
        </w:rPr>
      </w:pPr>
      <w:r w:rsidRPr="00FC3276">
        <w:rPr>
          <w:rFonts w:eastAsia="Calibri" w:cs="Arial"/>
          <w:b/>
          <w:bCs/>
          <w:spacing w:val="-2"/>
          <w:szCs w:val="22"/>
          <w:u w:val="single" w:color="000000"/>
        </w:rPr>
        <w:lastRenderedPageBreak/>
        <w:t>Zadání</w:t>
      </w:r>
      <w:r w:rsidRPr="00FC3276">
        <w:rPr>
          <w:rFonts w:eastAsia="Calibri" w:cs="Arial"/>
          <w:b/>
          <w:bCs/>
          <w:spacing w:val="2"/>
          <w:szCs w:val="22"/>
          <w:u w:val="single" w:color="000000"/>
        </w:rPr>
        <w:t xml:space="preserve"> </w:t>
      </w:r>
      <w:r w:rsidRPr="00FC3276">
        <w:rPr>
          <w:rFonts w:eastAsia="Calibri" w:cs="Arial"/>
          <w:b/>
          <w:bCs/>
          <w:szCs w:val="22"/>
          <w:u w:val="single" w:color="000000"/>
        </w:rPr>
        <w:t>a</w:t>
      </w:r>
      <w:r w:rsidRPr="00FC3276">
        <w:rPr>
          <w:rFonts w:eastAsia="Calibri" w:cs="Arial"/>
          <w:b/>
          <w:bCs/>
          <w:spacing w:val="-1"/>
          <w:szCs w:val="22"/>
          <w:u w:val="single" w:color="000000"/>
        </w:rPr>
        <w:t xml:space="preserve"> požadavky</w:t>
      </w:r>
      <w:r w:rsidRPr="00FC3276">
        <w:rPr>
          <w:rFonts w:eastAsia="Calibri" w:cs="Arial"/>
          <w:b/>
          <w:bCs/>
          <w:spacing w:val="1"/>
          <w:szCs w:val="22"/>
          <w:u w:val="single" w:color="000000"/>
        </w:rPr>
        <w:t xml:space="preserve"> </w:t>
      </w:r>
      <w:r w:rsidRPr="00FC3276">
        <w:rPr>
          <w:rFonts w:eastAsia="Calibri" w:cs="Arial"/>
          <w:b/>
          <w:bCs/>
          <w:spacing w:val="-1"/>
          <w:szCs w:val="22"/>
          <w:u w:val="single" w:color="000000"/>
        </w:rPr>
        <w:t>na</w:t>
      </w:r>
      <w:r w:rsidRPr="00FC3276">
        <w:rPr>
          <w:rFonts w:eastAsia="Calibri" w:cs="Arial"/>
          <w:b/>
          <w:bCs/>
          <w:szCs w:val="22"/>
          <w:u w:val="single" w:color="000000"/>
        </w:rPr>
        <w:t xml:space="preserve"> </w:t>
      </w:r>
      <w:r w:rsidRPr="00FC3276">
        <w:rPr>
          <w:rFonts w:eastAsia="Calibri" w:cs="Arial"/>
          <w:b/>
          <w:bCs/>
          <w:spacing w:val="-1"/>
          <w:szCs w:val="22"/>
          <w:u w:val="single" w:color="000000"/>
        </w:rPr>
        <w:t>podrobný geotechnický</w:t>
      </w:r>
      <w:r w:rsidRPr="00FC3276">
        <w:rPr>
          <w:rFonts w:eastAsia="Calibri" w:cs="Arial"/>
          <w:b/>
          <w:bCs/>
          <w:spacing w:val="-2"/>
          <w:szCs w:val="22"/>
          <w:u w:val="single" w:color="000000"/>
        </w:rPr>
        <w:t xml:space="preserve"> </w:t>
      </w:r>
      <w:r w:rsidRPr="00FC3276">
        <w:rPr>
          <w:rFonts w:eastAsia="Calibri" w:cs="Arial"/>
          <w:b/>
          <w:bCs/>
          <w:spacing w:val="-1"/>
          <w:szCs w:val="22"/>
          <w:u w:val="single" w:color="000000"/>
        </w:rPr>
        <w:t>průzkum pro polní cestu</w:t>
      </w:r>
      <w:r w:rsidRPr="00FC3276">
        <w:rPr>
          <w:rFonts w:eastAsia="Calibri" w:cs="Arial"/>
          <w:b/>
          <w:bCs/>
          <w:spacing w:val="-2"/>
          <w:szCs w:val="22"/>
          <w:u w:val="single" w:color="000000"/>
        </w:rPr>
        <w:t xml:space="preserve"> </w:t>
      </w:r>
    </w:p>
    <w:p w14:paraId="4D3FD3A3" w14:textId="77777777" w:rsidR="00FC3276" w:rsidRPr="004D5F78" w:rsidRDefault="00FC3276" w:rsidP="00FC3276">
      <w:pPr>
        <w:widowControl w:val="0"/>
        <w:spacing w:before="2" w:after="0" w:line="240" w:lineRule="auto"/>
        <w:rPr>
          <w:rFonts w:eastAsia="Calibri" w:cs="Arial"/>
          <w:b/>
          <w:bCs/>
          <w:szCs w:val="22"/>
        </w:rPr>
      </w:pPr>
      <w:r w:rsidRPr="004D5F78">
        <w:rPr>
          <w:rFonts w:eastAsia="Calibri" w:cs="Arial"/>
          <w:b/>
          <w:bCs/>
          <w:szCs w:val="22"/>
        </w:rPr>
        <w:t xml:space="preserve"> </w:t>
      </w:r>
    </w:p>
    <w:p w14:paraId="24A6F88C" w14:textId="77777777" w:rsidR="00FC3276" w:rsidRPr="004D5F78" w:rsidRDefault="00FC3276" w:rsidP="00FC3276">
      <w:pPr>
        <w:widowControl w:val="0"/>
        <w:spacing w:before="1" w:after="0" w:line="240" w:lineRule="auto"/>
        <w:rPr>
          <w:rFonts w:eastAsia="Calibri" w:cs="Arial"/>
          <w:b/>
          <w:bCs/>
          <w:szCs w:val="22"/>
        </w:rPr>
      </w:pPr>
    </w:p>
    <w:p w14:paraId="3499CEA7" w14:textId="77777777" w:rsidR="00FC3276" w:rsidRPr="004D5F78" w:rsidRDefault="00FC3276" w:rsidP="00FC3276">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FC3276" w:rsidRPr="004D5F78" w14:paraId="6F1A11C9" w14:textId="77777777" w:rsidTr="002408B1">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0B99B490"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22B0AE43" w14:textId="77777777" w:rsidR="00FC3276" w:rsidRPr="002F6773" w:rsidRDefault="00FC3276" w:rsidP="002408B1">
            <w:pPr>
              <w:spacing w:line="264" w:lineRule="exact"/>
              <w:ind w:left="102"/>
              <w:rPr>
                <w:rFonts w:cs="Arial"/>
                <w:b/>
                <w:spacing w:val="-1"/>
                <w:szCs w:val="22"/>
                <w:lang w:val="cs-CZ"/>
              </w:rPr>
            </w:pPr>
          </w:p>
        </w:tc>
      </w:tr>
      <w:tr w:rsidR="00FC3276" w:rsidRPr="004D5F78" w14:paraId="30B8942E"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2936DE"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62ABD6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0B05788"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781ACAB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6DF547A" w14:textId="77777777" w:rsidR="00FC3276" w:rsidRPr="004D5F78" w:rsidRDefault="00FC3276" w:rsidP="002408B1">
            <w:pPr>
              <w:spacing w:line="264" w:lineRule="exact"/>
              <w:ind w:left="104"/>
              <w:rPr>
                <w:rFonts w:cs="Arial"/>
                <w:spacing w:val="-1"/>
                <w:szCs w:val="22"/>
              </w:rPr>
            </w:pPr>
            <w:proofErr w:type="spellStart"/>
            <w:r w:rsidRPr="004D5F78">
              <w:rPr>
                <w:rFonts w:cs="Arial"/>
                <w:spacing w:val="-1"/>
                <w:szCs w:val="22"/>
              </w:rPr>
              <w:t>Zemníky</w:t>
            </w:r>
            <w:proofErr w:type="spellEnd"/>
          </w:p>
        </w:tc>
      </w:tr>
      <w:tr w:rsidR="00FC3276" w:rsidRPr="004D5F78" w14:paraId="10B56D2F"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19639B"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D0F024E" w14:textId="77777777" w:rsidR="00FC3276" w:rsidRPr="004D5F78" w:rsidRDefault="00FC3276" w:rsidP="002408B1">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3D851BC"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2CC48C9D"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B532B6B"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7648E8B2"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B2A583A"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2876CBB"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0631C98"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554CEB2E"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02E71623"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36F75B3D" w14:textId="77777777" w:rsidTr="002408B1">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613E668"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7B0A5C"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F493873"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7076320"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172AA2D" w14:textId="77777777" w:rsidR="00FC3276" w:rsidRPr="004D5F78" w:rsidRDefault="00FC3276" w:rsidP="002408B1">
            <w:pPr>
              <w:rPr>
                <w:rFonts w:cs="Arial"/>
                <w:szCs w:val="22"/>
              </w:rPr>
            </w:pPr>
          </w:p>
        </w:tc>
      </w:tr>
      <w:tr w:rsidR="00FC3276" w:rsidRPr="004D5F78" w14:paraId="595738F7"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A73F34C"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D499707" w14:textId="77777777" w:rsidR="00FC3276" w:rsidRPr="004D5F78" w:rsidRDefault="00FC3276" w:rsidP="002408B1">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6B33E160"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405A070D"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8CD5C35" w14:textId="77777777" w:rsidR="00FC3276" w:rsidRPr="004D5F78" w:rsidRDefault="00FC3276" w:rsidP="002408B1">
            <w:pPr>
              <w:spacing w:line="267" w:lineRule="exact"/>
              <w:ind w:left="104"/>
              <w:rPr>
                <w:rFonts w:cs="Arial"/>
                <w:szCs w:val="22"/>
              </w:rPr>
            </w:pPr>
            <w:r w:rsidRPr="004D5F78">
              <w:rPr>
                <w:rFonts w:cs="Arial"/>
                <w:szCs w:val="22"/>
              </w:rPr>
              <w:t>1:1000</w:t>
            </w:r>
          </w:p>
        </w:tc>
      </w:tr>
      <w:tr w:rsidR="00FC3276" w:rsidRPr="004D5F78" w14:paraId="450AAA09"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2314229"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6C3DDFC"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1327E425"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7C681084"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F4E972F" w14:textId="77777777" w:rsidR="00FC3276" w:rsidRPr="004D5F78" w:rsidRDefault="00FC3276" w:rsidP="002408B1">
            <w:pPr>
              <w:spacing w:line="264" w:lineRule="exact"/>
              <w:ind w:left="104"/>
              <w:rPr>
                <w:rFonts w:cs="Arial"/>
                <w:szCs w:val="22"/>
              </w:rPr>
            </w:pPr>
            <w:r w:rsidRPr="004D5F78">
              <w:rPr>
                <w:rFonts w:cs="Arial"/>
                <w:szCs w:val="22"/>
              </w:rPr>
              <w:t>1:1000</w:t>
            </w:r>
          </w:p>
        </w:tc>
      </w:tr>
    </w:tbl>
    <w:p w14:paraId="4529EB71" w14:textId="77777777" w:rsidR="00FC3276" w:rsidRPr="004D5F78" w:rsidRDefault="00FC3276" w:rsidP="00FC3276">
      <w:pPr>
        <w:widowControl w:val="0"/>
        <w:spacing w:before="12" w:after="0" w:line="240" w:lineRule="auto"/>
        <w:rPr>
          <w:rFonts w:eastAsia="Calibri" w:cs="Arial"/>
          <w:b/>
          <w:bCs/>
          <w:szCs w:val="22"/>
        </w:rPr>
      </w:pPr>
    </w:p>
    <w:p w14:paraId="743A3586" w14:textId="77777777" w:rsidR="00FC3276" w:rsidRPr="004D5F78" w:rsidRDefault="00FC3276" w:rsidP="00FC3276">
      <w:pPr>
        <w:widowControl w:val="0"/>
        <w:spacing w:after="0" w:line="240" w:lineRule="auto"/>
        <w:rPr>
          <w:rFonts w:eastAsia="Calibri" w:cs="Arial"/>
          <w:szCs w:val="22"/>
        </w:rPr>
      </w:pPr>
    </w:p>
    <w:p w14:paraId="78244FF6" w14:textId="77777777" w:rsidR="00FC3276" w:rsidRPr="004D5F78" w:rsidRDefault="00FC3276" w:rsidP="00FC3276">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41C7AFE" w14:textId="77777777" w:rsidR="00FC3276" w:rsidRPr="004D5F78" w:rsidRDefault="00FC3276" w:rsidP="00FC327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FC3276" w:rsidRPr="004D5F78" w14:paraId="6EB798DD" w14:textId="77777777" w:rsidTr="002408B1">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73A72807" w14:textId="77777777" w:rsidR="00FC3276" w:rsidRPr="002F6773" w:rsidRDefault="00FC3276" w:rsidP="002408B1">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FC3276" w:rsidRPr="004D5F78" w14:paraId="21DAE739"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4704E19"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370D9A4" w14:textId="77777777" w:rsidR="00FC3276" w:rsidRPr="004D5F78" w:rsidRDefault="00FC3276" w:rsidP="002408B1">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B5A4A23" w14:textId="77777777" w:rsidR="00FC3276" w:rsidRPr="004D5F78" w:rsidRDefault="00FC3276" w:rsidP="002408B1">
            <w:pPr>
              <w:spacing w:line="267" w:lineRule="exact"/>
              <w:ind w:left="1"/>
              <w:jc w:val="center"/>
              <w:rPr>
                <w:rFonts w:cs="Arial"/>
                <w:szCs w:val="22"/>
              </w:rPr>
            </w:pPr>
            <w:proofErr w:type="spellStart"/>
            <w:r w:rsidRPr="004D5F78">
              <w:rPr>
                <w:rFonts w:cs="Arial"/>
                <w:spacing w:val="-1"/>
                <w:szCs w:val="22"/>
              </w:rPr>
              <w:t>Složité</w:t>
            </w:r>
            <w:proofErr w:type="spellEnd"/>
          </w:p>
        </w:tc>
      </w:tr>
      <w:tr w:rsidR="00FC3276" w:rsidRPr="004D5F78" w14:paraId="1990F16E" w14:textId="77777777" w:rsidTr="002408B1">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65E54C9F"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B96494" w14:textId="77777777" w:rsidR="00FC3276" w:rsidRPr="004D5F78" w:rsidRDefault="00FC3276" w:rsidP="002408B1">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6B543C0F" w14:textId="77777777" w:rsidR="00FC3276" w:rsidRPr="004D5F78" w:rsidRDefault="00FC3276" w:rsidP="002408B1">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3F34E018"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88AC4AD"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A81823" w14:textId="77777777" w:rsidR="00FC3276" w:rsidRPr="004D5F78" w:rsidRDefault="00FC3276" w:rsidP="002408B1">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1B2B0CA" w14:textId="77777777" w:rsidR="00FC3276" w:rsidRPr="004D5F78" w:rsidRDefault="00FC3276" w:rsidP="002408B1">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64A57C91"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A85C0BA"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3F7F68" w14:textId="77777777" w:rsidR="00FC3276" w:rsidRPr="004D5F78" w:rsidRDefault="00FC3276" w:rsidP="002408B1">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7077879" w14:textId="77777777" w:rsidR="00FC3276" w:rsidRPr="004D5F78" w:rsidRDefault="00FC3276" w:rsidP="002408B1">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FC3276" w:rsidRPr="004D5F78" w14:paraId="62B43FDB"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A8B2DF"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E2F9F0" w14:textId="77777777" w:rsidR="00FC3276" w:rsidRPr="004D5F78" w:rsidRDefault="00FC3276" w:rsidP="002408B1">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B9B5FBB" w14:textId="77777777" w:rsidR="00FC3276" w:rsidRPr="004D5F78" w:rsidRDefault="00FC3276" w:rsidP="002408B1">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FC3276" w:rsidRPr="004D5F78" w14:paraId="044E9266" w14:textId="77777777" w:rsidTr="002408B1">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380293DE"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5EF8749" w14:textId="77777777" w:rsidR="00FC3276" w:rsidRPr="004D5F78" w:rsidRDefault="00FC3276" w:rsidP="002408B1">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125DAFA" w14:textId="77777777" w:rsidR="00FC3276" w:rsidRPr="004D5F78" w:rsidRDefault="00FC3276" w:rsidP="002408B1">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FC3276" w:rsidRPr="004D5F78" w14:paraId="2C8FA550" w14:textId="77777777" w:rsidTr="002408B1">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55303E8"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CC9C59A" w14:textId="77777777" w:rsidR="00FC3276" w:rsidRPr="004D5F78" w:rsidRDefault="00FC3276" w:rsidP="002408B1">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3AE9B7C" w14:textId="77777777" w:rsidR="00FC3276" w:rsidRPr="004D5F78" w:rsidRDefault="00FC3276" w:rsidP="002408B1">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1DC5A98F" w14:textId="77777777" w:rsidR="00FC3276" w:rsidRPr="004D5F78" w:rsidRDefault="00FC3276" w:rsidP="00FC3276">
      <w:pPr>
        <w:widowControl w:val="0"/>
        <w:spacing w:after="0" w:line="259" w:lineRule="exact"/>
        <w:ind w:left="395"/>
        <w:rPr>
          <w:rFonts w:eastAsia="Calibri" w:cs="Arial"/>
          <w:spacing w:val="-1"/>
          <w:szCs w:val="22"/>
        </w:rPr>
      </w:pPr>
    </w:p>
    <w:p w14:paraId="43068EF8" w14:textId="77777777" w:rsidR="00FC3276" w:rsidRPr="004D5F78" w:rsidRDefault="00FC3276" w:rsidP="00FC3276">
      <w:pPr>
        <w:widowControl w:val="0"/>
        <w:spacing w:after="0" w:line="259" w:lineRule="exact"/>
        <w:ind w:left="395"/>
        <w:rPr>
          <w:rFonts w:eastAsia="Calibri" w:cs="Arial"/>
          <w:szCs w:val="22"/>
        </w:rPr>
      </w:pPr>
      <w:r w:rsidRPr="004D5F78">
        <w:rPr>
          <w:rFonts w:eastAsia="Calibri" w:cs="Arial"/>
          <w:spacing w:val="-1"/>
          <w:szCs w:val="22"/>
        </w:rPr>
        <w:t>Poznámka:</w:t>
      </w:r>
    </w:p>
    <w:p w14:paraId="6DA78686" w14:textId="77777777" w:rsidR="00FC3276" w:rsidRPr="004D5F78" w:rsidRDefault="00FC3276" w:rsidP="00FC3276">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proofErr w:type="gramStart"/>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proofErr w:type="gramEnd"/>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EE0B8FE" w14:textId="77777777" w:rsidR="00FC3276" w:rsidRPr="004D5F78" w:rsidRDefault="00FC3276" w:rsidP="00FC3276">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E25BAEC" w14:textId="77777777" w:rsidR="00FC3276" w:rsidRDefault="00FC3276" w:rsidP="00FC3276">
      <w:pPr>
        <w:widowControl w:val="0"/>
        <w:spacing w:after="0" w:line="240" w:lineRule="auto"/>
        <w:rPr>
          <w:rFonts w:eastAsia="Calibri" w:cs="Arial"/>
          <w:b/>
          <w:spacing w:val="-1"/>
          <w:szCs w:val="22"/>
        </w:rPr>
      </w:pPr>
    </w:p>
    <w:p w14:paraId="2880B0A0" w14:textId="77777777" w:rsidR="00FC3276" w:rsidRDefault="00FC3276" w:rsidP="00FC3276">
      <w:pPr>
        <w:widowControl w:val="0"/>
        <w:spacing w:after="0" w:line="240" w:lineRule="auto"/>
        <w:rPr>
          <w:rFonts w:eastAsia="Calibri" w:cs="Arial"/>
          <w:b/>
          <w:spacing w:val="-1"/>
          <w:szCs w:val="22"/>
        </w:rPr>
      </w:pPr>
    </w:p>
    <w:p w14:paraId="6C04A923" w14:textId="77777777" w:rsidR="00FC3276" w:rsidRDefault="00FC3276" w:rsidP="00FC3276">
      <w:pPr>
        <w:widowControl w:val="0"/>
        <w:spacing w:after="0" w:line="240" w:lineRule="auto"/>
        <w:rPr>
          <w:rFonts w:eastAsia="Calibri" w:cs="Arial"/>
          <w:b/>
          <w:spacing w:val="-1"/>
          <w:szCs w:val="22"/>
        </w:rPr>
      </w:pPr>
    </w:p>
    <w:p w14:paraId="09D99AB4" w14:textId="77777777" w:rsidR="00FC3276" w:rsidRPr="004D5F78" w:rsidRDefault="00FC3276" w:rsidP="00FC3276">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7C10AFF2" w14:textId="77777777" w:rsidR="00FC3276" w:rsidRPr="004D5F78" w:rsidRDefault="00FC3276" w:rsidP="00FC327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273ADED6" w14:textId="77777777" w:rsidR="00FC3276" w:rsidRPr="004D5F78" w:rsidRDefault="00FC3276" w:rsidP="00FC327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8837E67" w14:textId="77777777" w:rsidR="00FC3276" w:rsidRPr="004D5F78" w:rsidRDefault="00FC3276" w:rsidP="00FC327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0794F3E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85DF7D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47FA479A" w14:textId="77777777" w:rsidR="00FC3276" w:rsidRPr="004D5F78" w:rsidRDefault="00FC3276" w:rsidP="00FC327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6799BDE1" w14:textId="77777777" w:rsidR="00FC3276" w:rsidRPr="004D5F78" w:rsidRDefault="00FC3276" w:rsidP="00FC327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10163FE7" w14:textId="77ACB114" w:rsidR="00FC3276" w:rsidRPr="00961367" w:rsidRDefault="00FC3276" w:rsidP="00FC327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371249D9" w14:textId="77777777" w:rsidR="00961367" w:rsidRPr="004D5F78" w:rsidRDefault="00961367" w:rsidP="00FC3276">
      <w:pPr>
        <w:pStyle w:val="Odstavecseseznamem"/>
        <w:numPr>
          <w:ilvl w:val="0"/>
          <w:numId w:val="9"/>
        </w:numPr>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FC3276" w:rsidRPr="004D5F78" w14:paraId="0E7B2D51" w14:textId="77777777" w:rsidTr="002408B1">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09E2841"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FC3276" w:rsidRPr="004D5F78" w14:paraId="0DE96E62"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6863EE4" w14:textId="77777777" w:rsidR="00FC3276" w:rsidRPr="004D5F78" w:rsidRDefault="00FC3276" w:rsidP="002408B1">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072768BA" w14:textId="77777777" w:rsidR="00FC3276" w:rsidRPr="004D5F78" w:rsidRDefault="00FC3276" w:rsidP="002408B1">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FC3276" w:rsidRPr="004D5F78" w14:paraId="58AA3726" w14:textId="77777777" w:rsidTr="002408B1">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4F3C4BAA" w14:textId="77777777" w:rsidR="00FC3276" w:rsidRPr="004D5F78" w:rsidRDefault="00FC3276" w:rsidP="002408B1">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572F9D16" w14:textId="77777777" w:rsidR="00FC3276" w:rsidRPr="00627EE9" w:rsidRDefault="00FC3276" w:rsidP="002408B1">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FC3276" w:rsidRPr="004D5F78" w14:paraId="09BC5445"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51284B3" w14:textId="77777777" w:rsidR="00FC3276" w:rsidRPr="004D5F78" w:rsidRDefault="00FC3276" w:rsidP="002408B1">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02797CFB" w14:textId="77777777" w:rsidR="00FC3276" w:rsidRPr="004D5F78" w:rsidRDefault="00FC3276" w:rsidP="002408B1">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FC3276" w:rsidRPr="004D5F78" w14:paraId="0C991884" w14:textId="77777777" w:rsidTr="002408B1">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18F99F8E" w14:textId="77777777" w:rsidR="00FC3276" w:rsidRPr="004D5F78" w:rsidRDefault="00FC3276" w:rsidP="002408B1">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3B6AD5CE" w14:textId="77777777" w:rsidR="00FC3276" w:rsidRPr="004D5F78" w:rsidRDefault="00FC3276" w:rsidP="002408B1">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FC3276" w:rsidRPr="004D5F78" w14:paraId="4C8ED3E4" w14:textId="77777777" w:rsidTr="002408B1">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84E457C" w14:textId="77777777" w:rsidR="00FC3276" w:rsidRPr="004D5F78" w:rsidRDefault="00FC3276" w:rsidP="002408B1">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DCC9578" w14:textId="77777777" w:rsidR="00FC3276" w:rsidRPr="004D5F78" w:rsidRDefault="00FC3276" w:rsidP="002408B1">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r w:rsidRPr="004D5F78">
              <w:rPr>
                <w:rFonts w:cs="Arial"/>
                <w:spacing w:val="-1"/>
                <w:szCs w:val="22"/>
              </w:rPr>
              <w:t xml:space="preserve">jako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r w:rsidRPr="004D5F78">
              <w:rPr>
                <w:rFonts w:cs="Arial"/>
                <w:spacing w:val="-1"/>
                <w:szCs w:val="22"/>
              </w:rPr>
              <w:t xml:space="preserve">jako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r w:rsidRPr="004D5F78">
              <w:rPr>
                <w:rFonts w:cs="Arial"/>
                <w:spacing w:val="-2"/>
                <w:szCs w:val="22"/>
              </w:rPr>
              <w:t>jako</w:t>
            </w:r>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FC3276" w:rsidRPr="004D5F78" w14:paraId="668F564A"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E63AD9E" w14:textId="77777777" w:rsidR="00FC3276" w:rsidRPr="004D5F78" w:rsidRDefault="00FC3276" w:rsidP="002408B1">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71084D6E"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FC3276" w:rsidRPr="004D5F78" w14:paraId="1396ABC6" w14:textId="77777777" w:rsidTr="002408B1">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3EE534A" w14:textId="77777777" w:rsidR="00FC3276" w:rsidRPr="004D5F78" w:rsidRDefault="00FC3276" w:rsidP="002408B1">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08FE01C6"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FC3276" w:rsidRPr="004D5F78" w14:paraId="48DA9C9E" w14:textId="77777777" w:rsidTr="002408B1">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1648902B" w14:textId="77777777" w:rsidR="00FC3276" w:rsidRPr="004D5F78" w:rsidRDefault="00FC3276" w:rsidP="002408B1">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78CF6ECD" w14:textId="77777777" w:rsidR="00FC3276" w:rsidRPr="004D5F78" w:rsidRDefault="00FC3276" w:rsidP="002408B1">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FC3276" w:rsidRPr="004D5F78" w14:paraId="71361FE4" w14:textId="77777777" w:rsidTr="002408B1">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5B733D7" w14:textId="77777777" w:rsidR="00FC3276" w:rsidRPr="004D5F78" w:rsidRDefault="00FC3276" w:rsidP="002408B1">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04C7BCC"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FC3276" w:rsidRPr="004D5F78" w14:paraId="1AD495AC" w14:textId="77777777" w:rsidTr="002408B1">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472656A" w14:textId="77777777" w:rsidR="00FC3276" w:rsidRPr="004D5F78" w:rsidRDefault="00FC3276" w:rsidP="002408B1">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73A96973" w14:textId="77777777" w:rsidR="00FC3276" w:rsidRPr="00172DE7" w:rsidRDefault="00FC3276" w:rsidP="002408B1">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453F47BB" w14:textId="77777777" w:rsidR="00FC3276" w:rsidRPr="00172DE7" w:rsidRDefault="00FC3276" w:rsidP="002408B1">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27AF9A97" w14:textId="77777777" w:rsidR="00FC3276" w:rsidRDefault="00FC3276" w:rsidP="00FC327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16CA5B8A"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6C2677F3"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FC3276" w:rsidRPr="004D5F78" w14:paraId="6E177437" w14:textId="77777777" w:rsidTr="002408B1">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687EACA4" w14:textId="77777777" w:rsidR="00FC3276" w:rsidRPr="004D5F78" w:rsidRDefault="00FC3276" w:rsidP="002408B1">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5EB20284" w14:textId="77777777" w:rsidR="00FC3276" w:rsidRPr="004D5F78" w:rsidRDefault="00FC3276" w:rsidP="002408B1">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FC3276" w:rsidRPr="004D5F78" w14:paraId="1BD7C0AB" w14:textId="77777777" w:rsidTr="002408B1">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14D26243" w14:textId="77777777" w:rsidR="00FC3276" w:rsidRPr="004D5F78" w:rsidRDefault="00FC3276" w:rsidP="002408B1">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6610569D" w14:textId="77777777" w:rsidR="00FC3276" w:rsidRPr="004D5F78" w:rsidRDefault="00FC3276" w:rsidP="002408B1">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3F072EB9" w14:textId="77777777" w:rsidR="00FC3276" w:rsidRPr="004D5F78" w:rsidRDefault="00FC3276" w:rsidP="00FC3276">
      <w:pPr>
        <w:rPr>
          <w:rFonts w:cs="Arial"/>
          <w:szCs w:val="22"/>
        </w:rPr>
      </w:pPr>
    </w:p>
    <w:p w14:paraId="11983771" w14:textId="77777777" w:rsidR="00FC3276" w:rsidRPr="004D5F78" w:rsidRDefault="00FC3276" w:rsidP="00FC3276">
      <w:pPr>
        <w:rPr>
          <w:rFonts w:cs="Arial"/>
          <w:b/>
          <w:szCs w:val="22"/>
        </w:rPr>
      </w:pPr>
      <w:r w:rsidRPr="004D5F78">
        <w:rPr>
          <w:rFonts w:cs="Arial"/>
          <w:b/>
          <w:szCs w:val="22"/>
        </w:rPr>
        <w:t>E. Členění díla Geotechnický průzkum:</w:t>
      </w:r>
    </w:p>
    <w:p w14:paraId="1793A16D"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5A48EFE"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650E692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74E611C7"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944FA1A"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263B8632"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980255"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9E4C5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1E4BC04"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F0DC7B0"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EB2636E"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4C9D7184" w14:textId="77777777" w:rsidR="00FC3276" w:rsidRPr="004D5F78" w:rsidRDefault="00FC3276" w:rsidP="00FC3276">
      <w:pPr>
        <w:rPr>
          <w:rFonts w:cs="Arial"/>
          <w:szCs w:val="22"/>
        </w:rPr>
      </w:pPr>
    </w:p>
    <w:p w14:paraId="3326BF65" w14:textId="2E4F3A61" w:rsidR="00ED6754" w:rsidRPr="004D5F78" w:rsidRDefault="00ED6754" w:rsidP="00FC3276">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FBDEA" w14:textId="77777777" w:rsidR="0066532B" w:rsidRDefault="0066532B">
      <w:r>
        <w:separator/>
      </w:r>
    </w:p>
  </w:endnote>
  <w:endnote w:type="continuationSeparator" w:id="0">
    <w:p w14:paraId="755BCE1C" w14:textId="77777777" w:rsidR="0066532B" w:rsidRDefault="0066532B">
      <w:r>
        <w:continuationSeparator/>
      </w:r>
    </w:p>
  </w:endnote>
  <w:endnote w:type="continuationNotice" w:id="1">
    <w:p w14:paraId="1D1EEEF8" w14:textId="77777777" w:rsidR="0066532B" w:rsidRDefault="0066532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10A87" w14:textId="77777777" w:rsidR="0066532B" w:rsidRDefault="0066532B">
      <w:r>
        <w:separator/>
      </w:r>
    </w:p>
  </w:footnote>
  <w:footnote w:type="continuationSeparator" w:id="0">
    <w:p w14:paraId="149FA8BD" w14:textId="77777777" w:rsidR="0066532B" w:rsidRDefault="0066532B">
      <w:r>
        <w:continuationSeparator/>
      </w:r>
    </w:p>
  </w:footnote>
  <w:footnote w:type="continuationNotice" w:id="1">
    <w:p w14:paraId="7790CE46" w14:textId="77777777" w:rsidR="0066532B" w:rsidRDefault="0066532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2B14"/>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48D6"/>
    <w:rsid w:val="004C62BE"/>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5C72"/>
    <w:rsid w:val="006575CE"/>
    <w:rsid w:val="00660690"/>
    <w:rsid w:val="00660870"/>
    <w:rsid w:val="00660B9F"/>
    <w:rsid w:val="0066162B"/>
    <w:rsid w:val="00661B1A"/>
    <w:rsid w:val="00661CD2"/>
    <w:rsid w:val="00662182"/>
    <w:rsid w:val="00663C13"/>
    <w:rsid w:val="0066532B"/>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02E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683B"/>
    <w:rsid w:val="00750233"/>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723B"/>
    <w:rsid w:val="00790CC9"/>
    <w:rsid w:val="0079106B"/>
    <w:rsid w:val="00792016"/>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40019"/>
    <w:rsid w:val="00940556"/>
    <w:rsid w:val="00941A95"/>
    <w:rsid w:val="00951789"/>
    <w:rsid w:val="00952520"/>
    <w:rsid w:val="0095373F"/>
    <w:rsid w:val="00953EC8"/>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4862"/>
    <w:rsid w:val="00BB71C6"/>
    <w:rsid w:val="00BB7CB3"/>
    <w:rsid w:val="00BC11BB"/>
    <w:rsid w:val="00BC247C"/>
    <w:rsid w:val="00BD0A14"/>
    <w:rsid w:val="00BD3F3B"/>
    <w:rsid w:val="00BD41D3"/>
    <w:rsid w:val="00BD672E"/>
    <w:rsid w:val="00BE258E"/>
    <w:rsid w:val="00BF3694"/>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95427"/>
    <w:rsid w:val="00D95953"/>
    <w:rsid w:val="00DA404F"/>
    <w:rsid w:val="00DB2E76"/>
    <w:rsid w:val="00DB31DA"/>
    <w:rsid w:val="00DB3718"/>
    <w:rsid w:val="00DB40C0"/>
    <w:rsid w:val="00DB4A73"/>
    <w:rsid w:val="00DB544E"/>
    <w:rsid w:val="00DC0156"/>
    <w:rsid w:val="00DC2688"/>
    <w:rsid w:val="00DD200E"/>
    <w:rsid w:val="00DD696F"/>
    <w:rsid w:val="00DD78F0"/>
    <w:rsid w:val="00DE04FD"/>
    <w:rsid w:val="00DE06E9"/>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4ACE"/>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515C"/>
    <w:rsid w:val="00FC0B97"/>
    <w:rsid w:val="00FC3276"/>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customXml/itemProps5.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6960</Words>
  <Characters>41065</Characters>
  <Application>Microsoft Office Word</Application>
  <DocSecurity>0</DocSecurity>
  <Lines>342</Lines>
  <Paragraphs>95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85</cp:revision>
  <cp:lastPrinted>2019-08-15T11:56:00Z</cp:lastPrinted>
  <dcterms:created xsi:type="dcterms:W3CDTF">2020-03-12T12:46:00Z</dcterms:created>
  <dcterms:modified xsi:type="dcterms:W3CDTF">2022-05-30T14:59:00Z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