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029AE" w14:textId="77777777" w:rsidR="00BF780F" w:rsidRPr="00A73340" w:rsidRDefault="00BF780F" w:rsidP="00DB31BF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74FE4B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6BDAF7" w14:textId="1A1C120E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C1F01" w14:textId="1D40B615" w:rsidR="00F90F81" w:rsidRPr="00D65FFA" w:rsidRDefault="00F90F81" w:rsidP="00DA135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sz w:val="22"/>
                <w:szCs w:val="22"/>
              </w:rPr>
              <w:t xml:space="preserve">Česká republika – Státní pozemkový úřad, </w:t>
            </w:r>
            <w:r w:rsidR="00DA1357" w:rsidRPr="00D65FFA">
              <w:rPr>
                <w:rFonts w:cs="Arial"/>
                <w:sz w:val="22"/>
                <w:szCs w:val="22"/>
              </w:rPr>
              <w:br/>
            </w:r>
            <w:r w:rsidRPr="00D65FFA">
              <w:rPr>
                <w:rFonts w:cs="Arial"/>
                <w:sz w:val="22"/>
                <w:szCs w:val="22"/>
              </w:rPr>
              <w:t xml:space="preserve">Krajský pozemkový úřad pro </w:t>
            </w:r>
            <w:r w:rsidR="00E84E76">
              <w:rPr>
                <w:rFonts w:cs="Arial"/>
                <w:sz w:val="22"/>
                <w:szCs w:val="22"/>
              </w:rPr>
              <w:t>Olomoucký</w:t>
            </w:r>
            <w:r w:rsidRPr="00D65FFA">
              <w:rPr>
                <w:rFonts w:cs="Arial"/>
                <w:sz w:val="22"/>
                <w:szCs w:val="22"/>
              </w:rPr>
              <w:t xml:space="preserve"> kra</w:t>
            </w:r>
            <w:r w:rsidR="00BF3A86">
              <w:rPr>
                <w:rFonts w:cs="Arial"/>
                <w:sz w:val="22"/>
                <w:szCs w:val="22"/>
              </w:rPr>
              <w:t>j</w:t>
            </w:r>
          </w:p>
        </w:tc>
      </w:tr>
      <w:tr w:rsidR="00F90F81" w:rsidRPr="00D65FFA" w14:paraId="71D0F0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92C5FB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234C" w14:textId="65D348DE" w:rsidR="00F90F81" w:rsidRPr="00D65FFA" w:rsidRDefault="00E84E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>Blanická 383/1, 772 00 Olomouc</w:t>
            </w:r>
          </w:p>
        </w:tc>
      </w:tr>
      <w:tr w:rsidR="00F90F81" w:rsidRPr="00D65FFA" w14:paraId="0B6C5F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D7C8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89335" w14:textId="77777777" w:rsidR="00E84E76" w:rsidRDefault="00E84E76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 xml:space="preserve">JUDr. Romanem Brnčalem, LL.M., </w:t>
            </w:r>
          </w:p>
          <w:p w14:paraId="7CB01D99" w14:textId="523E0668" w:rsidR="00F90F81" w:rsidRPr="00D65FFA" w:rsidRDefault="00E84E76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>ředitelem KPÚ</w:t>
            </w:r>
            <w:r>
              <w:rPr>
                <w:rFonts w:cs="Arial"/>
                <w:b w:val="0"/>
                <w:bCs/>
                <w:sz w:val="22"/>
                <w:szCs w:val="22"/>
              </w:rPr>
              <w:t xml:space="preserve"> </w:t>
            </w:r>
            <w:r w:rsidRPr="00E84E76">
              <w:rPr>
                <w:rFonts w:cs="Arial"/>
                <w:b w:val="0"/>
                <w:bCs/>
                <w:sz w:val="22"/>
                <w:szCs w:val="22"/>
              </w:rPr>
              <w:t>pro Olomoucký kraj</w:t>
            </w:r>
          </w:p>
        </w:tc>
      </w:tr>
      <w:tr w:rsidR="00F90F81" w:rsidRPr="00D65FFA" w14:paraId="1CD221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A63657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F830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 w:val="22"/>
                <w:szCs w:val="22"/>
              </w:rPr>
            </w:pPr>
            <w:r w:rsidRPr="00D65FFA">
              <w:rPr>
                <w:rFonts w:cs="Arial"/>
                <w:b w:val="0"/>
                <w:bCs/>
                <w:sz w:val="22"/>
                <w:szCs w:val="22"/>
              </w:rPr>
              <w:t>01312774 / CZ 01312774</w:t>
            </w:r>
          </w:p>
        </w:tc>
      </w:tr>
    </w:tbl>
    <w:p w14:paraId="44570916" w14:textId="77777777" w:rsidR="00532181" w:rsidRPr="00D65FFA" w:rsidRDefault="00532181" w:rsidP="00F206F3">
      <w:pPr>
        <w:spacing w:before="0" w:after="0" w:line="288" w:lineRule="auto"/>
        <w:outlineLvl w:val="0"/>
        <w:rPr>
          <w:rFonts w:cs="Arial"/>
          <w:i/>
          <w:sz w:val="22"/>
          <w:szCs w:val="22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1A560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04671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8584" w14:textId="12DB6B9B" w:rsidR="00F90F81" w:rsidRPr="00D65FFA" w:rsidRDefault="00E84E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E84E76">
              <w:rPr>
                <w:rFonts w:cs="Arial"/>
                <w:sz w:val="22"/>
                <w:szCs w:val="22"/>
              </w:rPr>
              <w:t>PD obnova Hukovických nádrží - Poldr 2, VN 3, VN 4, revitalizace Hukovického potoka, rekonstrukce PC 11</w:t>
            </w:r>
          </w:p>
        </w:tc>
      </w:tr>
      <w:tr w:rsidR="00F90F81" w:rsidRPr="00D65FFA" w14:paraId="6DFAA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610FB2" w14:textId="1179B826" w:rsidR="00F90F81" w:rsidRPr="00D65FF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Sp</w:t>
            </w:r>
            <w:r w:rsidR="00F206F3"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isová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značka</w:t>
            </w:r>
            <w:r w:rsidR="00083130">
              <w:rPr>
                <w:rFonts w:cs="Arial"/>
                <w:bCs/>
                <w:i/>
                <w:color w:val="000000"/>
                <w:sz w:val="22"/>
                <w:szCs w:val="22"/>
              </w:rPr>
              <w:t>: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0903" w14:textId="46AFEF65" w:rsidR="00F90F81" w:rsidRPr="0018502C" w:rsidRDefault="00E84E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E84E76">
              <w:rPr>
                <w:rFonts w:cs="Arial"/>
                <w:b w:val="0"/>
                <w:sz w:val="22"/>
                <w:szCs w:val="22"/>
              </w:rPr>
              <w:t>SP5079/2022-521101</w:t>
            </w:r>
          </w:p>
        </w:tc>
      </w:tr>
      <w:tr w:rsidR="00F90F81" w:rsidRPr="00D65FFA" w14:paraId="40E26D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FC0F45" w14:textId="77777777" w:rsidR="00F90F81" w:rsidRPr="00D65FFA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29106" w14:textId="77777777" w:rsidR="00F90F81" w:rsidRPr="0018502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dle § 3 písm. a) zákona</w:t>
            </w:r>
            <w:r w:rsidR="0010601F" w:rsidRPr="0018502C">
              <w:rPr>
                <w:rFonts w:cs="Arial"/>
                <w:b w:val="0"/>
                <w:sz w:val="22"/>
                <w:szCs w:val="22"/>
              </w:rPr>
              <w:t xml:space="preserve"> č. 134/2016 Sb., o zadávání veřejných zakázek</w:t>
            </w:r>
            <w:r w:rsidRPr="0018502C">
              <w:rPr>
                <w:rFonts w:cs="Arial"/>
                <w:b w:val="0"/>
                <w:sz w:val="22"/>
                <w:szCs w:val="22"/>
              </w:rPr>
              <w:t>,</w:t>
            </w:r>
            <w:r w:rsidR="00312BBF" w:rsidRPr="0018502C">
              <w:rPr>
                <w:rFonts w:cs="Arial"/>
                <w:b w:val="0"/>
                <w:sz w:val="22"/>
                <w:szCs w:val="22"/>
              </w:rPr>
              <w:t xml:space="preserve"> ve znění pozdějších předpisů,</w:t>
            </w:r>
            <w:r w:rsidRPr="0018502C">
              <w:rPr>
                <w:rFonts w:cs="Arial"/>
                <w:b w:val="0"/>
                <w:sz w:val="22"/>
                <w:szCs w:val="22"/>
              </w:rPr>
              <w:t xml:space="preserve"> zjednodušené podlimitní řízení</w:t>
            </w:r>
          </w:p>
        </w:tc>
      </w:tr>
      <w:tr w:rsidR="00F90F81" w:rsidRPr="00D65FFA" w14:paraId="2DFA76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914995" w14:textId="77777777" w:rsidR="00F90F81" w:rsidRPr="00D65FFA" w:rsidRDefault="00F90F81" w:rsidP="0018502C">
            <w:pPr>
              <w:spacing w:before="0" w:after="0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BC08" w14:textId="77777777" w:rsidR="00F90F81" w:rsidRPr="0018502C" w:rsidRDefault="00F90F81" w:rsidP="0018502C">
            <w:pPr>
              <w:spacing w:before="0" w:after="0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služby</w:t>
            </w:r>
          </w:p>
        </w:tc>
      </w:tr>
    </w:tbl>
    <w:p w14:paraId="7C92365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6244A" w14:paraId="6918442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C62F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DFEE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4DFE07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B3F0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E6FA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66A6F58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AE034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27EC7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0436D4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254E2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32E98E" w14:textId="77777777" w:rsidR="00E50349" w:rsidRPr="0096244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  <w:t>/ +420</w:t>
            </w:r>
          </w:p>
        </w:tc>
      </w:tr>
      <w:tr w:rsidR="00E50349" w:rsidRPr="0096244A" w14:paraId="57576A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8EFC7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73C7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589616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A3AF88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IČ</w:t>
            </w:r>
            <w:r w:rsidR="006F49F7" w:rsidRPr="0096244A">
              <w:rPr>
                <w:rFonts w:cs="Arial"/>
                <w:sz w:val="22"/>
                <w:szCs w:val="22"/>
              </w:rPr>
              <w:t>O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1E1F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37AEE5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EBC896" w14:textId="77777777" w:rsidR="00E50349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</w:t>
            </w:r>
            <w:r w:rsidR="003E5C38" w:rsidRPr="0096244A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F63EFC" w:rsidRPr="0096244A">
              <w:rPr>
                <w:rFonts w:cs="Arial"/>
                <w:sz w:val="22"/>
                <w:szCs w:val="22"/>
              </w:rPr>
              <w:t>dodavatele</w:t>
            </w:r>
            <w:r w:rsidR="000375CD" w:rsidRPr="0096244A">
              <w:rPr>
                <w:rFonts w:cs="Arial"/>
                <w:sz w:val="22"/>
                <w:szCs w:val="22"/>
              </w:rPr>
              <w:t>*</w:t>
            </w:r>
            <w:r w:rsidR="00F63EFC" w:rsidRPr="0096244A">
              <w:rPr>
                <w:rFonts w:cs="Arial"/>
                <w:sz w:val="22"/>
                <w:szCs w:val="22"/>
              </w:rPr>
              <w:t>:</w:t>
            </w:r>
          </w:p>
          <w:p w14:paraId="407AE029" w14:textId="77777777" w:rsidR="00403E70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</w:t>
            </w:r>
            <w:r w:rsidR="00CC446F" w:rsidRPr="0096244A">
              <w:rPr>
                <w:rFonts w:cs="Arial"/>
                <w:sz w:val="22"/>
                <w:szCs w:val="22"/>
              </w:rPr>
              <w:t xml:space="preserve">např. </w:t>
            </w:r>
            <w:r w:rsidRPr="0096244A">
              <w:rPr>
                <w:rFonts w:cs="Arial"/>
                <w:sz w:val="22"/>
                <w:szCs w:val="22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F64B2D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119B6E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AFC50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6305A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7C66A9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898278" w14:textId="77777777" w:rsidR="00E50349" w:rsidRPr="0096244A" w:rsidRDefault="008919CC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 xml:space="preserve">Kontaktní osoba pro podání </w:t>
            </w:r>
            <w:r w:rsidR="00C84223" w:rsidRPr="0096244A">
              <w:rPr>
                <w:rFonts w:cs="Arial"/>
                <w:sz w:val="22"/>
                <w:szCs w:val="22"/>
              </w:rPr>
              <w:t>nabídky a komunikaci v rámci zadávacího řízení</w:t>
            </w:r>
            <w:r w:rsidR="00B756D3" w:rsidRPr="0096244A">
              <w:rPr>
                <w:rFonts w:cs="Arial"/>
                <w:sz w:val="22"/>
                <w:szCs w:val="22"/>
              </w:rPr>
              <w:t>**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5F204B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DE89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90AF6E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6BE8B" w14:textId="77777777" w:rsidR="00E50349" w:rsidRPr="0096244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</w:r>
            <w:r w:rsidR="009745F7" w:rsidRPr="0096244A">
              <w:rPr>
                <w:rFonts w:cs="Arial"/>
                <w:sz w:val="22"/>
                <w:szCs w:val="22"/>
              </w:rPr>
              <w:t>/ +420</w:t>
            </w:r>
            <w:r w:rsidR="009745F7" w:rsidRPr="0096244A">
              <w:rPr>
                <w:rFonts w:cs="Arial"/>
                <w:sz w:val="22"/>
                <w:szCs w:val="22"/>
              </w:rPr>
              <w:tab/>
            </w:r>
          </w:p>
        </w:tc>
      </w:tr>
      <w:tr w:rsidR="00E50349" w:rsidRPr="0096244A" w14:paraId="5C085C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2647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263D3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12F9" w:rsidRPr="0096244A" w14:paraId="6C6F90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E29F8F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Dodavatel je malý nebo střední podnik</w:t>
            </w:r>
            <w:r w:rsidR="000375CD" w:rsidRPr="0096244A">
              <w:rPr>
                <w:rFonts w:cs="Arial"/>
                <w:sz w:val="22"/>
                <w:szCs w:val="22"/>
              </w:rPr>
              <w:t>**</w:t>
            </w:r>
            <w:r w:rsidR="00877902" w:rsidRPr="0096244A">
              <w:rPr>
                <w:rFonts w:cs="Arial"/>
                <w:sz w:val="22"/>
                <w:szCs w:val="22"/>
              </w:rPr>
              <w:t>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0FFD26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ANO/NE</w:t>
            </w:r>
          </w:p>
        </w:tc>
      </w:tr>
    </w:tbl>
    <w:p w14:paraId="2F283CB8" w14:textId="6919A254" w:rsidR="00D42CD1" w:rsidRPr="00DC17BF" w:rsidRDefault="00D42CD1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5AE2654" w14:textId="77777777" w:rsidR="00D0022F" w:rsidRPr="00DC17BF" w:rsidRDefault="000375CD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 xml:space="preserve">* </w:t>
      </w:r>
      <w:r w:rsidR="00877902" w:rsidRPr="00DC17BF">
        <w:rPr>
          <w:sz w:val="22"/>
          <w:szCs w:val="22"/>
        </w:rPr>
        <w:t>T</w:t>
      </w:r>
      <w:r w:rsidR="007040FE" w:rsidRPr="00DC17BF">
        <w:rPr>
          <w:sz w:val="22"/>
          <w:szCs w:val="22"/>
        </w:rPr>
        <w:t xml:space="preserve">ato osoba podepisuje </w:t>
      </w:r>
      <w:r w:rsidR="00CC446F" w:rsidRPr="00DC17BF">
        <w:rPr>
          <w:sz w:val="22"/>
          <w:szCs w:val="22"/>
        </w:rPr>
        <w:t>např. čestná prohlášení dodavatele, návrh smlouvy, krycí list</w:t>
      </w:r>
      <w:r w:rsidR="003F67C9" w:rsidRPr="00DC17BF">
        <w:rPr>
          <w:sz w:val="22"/>
          <w:szCs w:val="22"/>
        </w:rPr>
        <w:t>.</w:t>
      </w:r>
    </w:p>
    <w:p w14:paraId="750122EE" w14:textId="77777777" w:rsidR="00B756D3" w:rsidRPr="00DC17BF" w:rsidRDefault="00B756D3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 xml:space="preserve">** Pokud tato osoba není totožná s osobou oprávněnou jednat za dodavatele, musí být k podání nabídky </w:t>
      </w:r>
      <w:r w:rsidR="00904AAC" w:rsidRPr="00DC17BF">
        <w:rPr>
          <w:sz w:val="22"/>
          <w:szCs w:val="22"/>
        </w:rPr>
        <w:t xml:space="preserve">prostřednictvím E-ZAKu </w:t>
      </w:r>
      <w:r w:rsidRPr="00DC17BF">
        <w:rPr>
          <w:sz w:val="22"/>
          <w:szCs w:val="22"/>
        </w:rPr>
        <w:t>a komunikaci v rámci zadávacího řízení zplnomocněna</w:t>
      </w:r>
      <w:r w:rsidR="003F67C9" w:rsidRPr="00DC17BF">
        <w:rPr>
          <w:sz w:val="22"/>
          <w:szCs w:val="22"/>
        </w:rPr>
        <w:t xml:space="preserve"> (splněno vyplněním plné moci uvedené v bodě IV. krycího listu)</w:t>
      </w:r>
      <w:r w:rsidR="00904AAC" w:rsidRPr="00DC17BF">
        <w:rPr>
          <w:sz w:val="22"/>
          <w:szCs w:val="22"/>
        </w:rPr>
        <w:t>.</w:t>
      </w:r>
    </w:p>
    <w:p w14:paraId="47A5EA10" w14:textId="77777777" w:rsidR="006403F7" w:rsidRPr="00DC17BF" w:rsidRDefault="000375CD" w:rsidP="00FD6741">
      <w:pPr>
        <w:spacing w:after="120"/>
        <w:rPr>
          <w:rStyle w:val="Hypertextovodkaz"/>
          <w:rFonts w:cs="Arial"/>
          <w:sz w:val="22"/>
          <w:szCs w:val="22"/>
        </w:rPr>
      </w:pPr>
      <w:r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>*</w:t>
      </w:r>
      <w:r w:rsidR="00B756D3"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 xml:space="preserve"> Malý nebo střední podnik dle definice </w:t>
      </w:r>
      <w:hyperlink r:id="rId8" w:history="1">
        <w:r w:rsidR="000A12F9" w:rsidRPr="00DC17BF">
          <w:rPr>
            <w:rStyle w:val="Hypertextovodkaz"/>
            <w:rFonts w:cs="Arial"/>
            <w:sz w:val="22"/>
            <w:szCs w:val="22"/>
          </w:rPr>
          <w:t>http://www.czechinvest.org/definice-msp</w:t>
        </w:r>
      </w:hyperlink>
    </w:p>
    <w:p w14:paraId="43114D57" w14:textId="473F02AA" w:rsidR="006403F7" w:rsidRPr="00DC17BF" w:rsidRDefault="006403F7" w:rsidP="006403F7">
      <w:pPr>
        <w:rPr>
          <w:rStyle w:val="Hypertextovodkaz"/>
          <w:rFonts w:cs="Arial"/>
          <w:sz w:val="22"/>
          <w:szCs w:val="22"/>
        </w:rPr>
      </w:pPr>
    </w:p>
    <w:p w14:paraId="09D0E12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B342C" w14:paraId="0D38569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AEAF1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3DB7F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DAA79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5F2604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239A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F7DDA2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4FEE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4257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1E6A7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273CE0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571917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0E8D51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93A0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83562A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39CC3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9264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BE324E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901E1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FABA07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BF613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53310FA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2A9B9C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– osoba oprávněná jednat za 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A056DB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68DF923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39DA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37A18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4518BA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F8CA87" w14:textId="77777777" w:rsidR="00D42CD1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D42CD1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7E94A1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281648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4F4E9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47E84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574ED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EFBE1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5C41A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C10F468" w14:textId="77777777" w:rsidR="00604DE4" w:rsidRPr="000B342C" w:rsidRDefault="00604DE4" w:rsidP="00604DE4">
      <w:pPr>
        <w:rPr>
          <w:sz w:val="22"/>
          <w:szCs w:val="22"/>
        </w:rPr>
      </w:pPr>
    </w:p>
    <w:p w14:paraId="068A561D" w14:textId="0C246A5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B342C" w14:paraId="54D85E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165D6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0AA54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7301E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F1D2A2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CE7D4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II.</w:t>
            </w:r>
          </w:p>
        </w:tc>
      </w:tr>
      <w:tr w:rsidR="00892308" w:rsidRPr="000B342C" w14:paraId="525E67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01A8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F71FB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8955F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B31F6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1C94B6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074676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E95D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879E0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C5E6C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334CA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0FFC1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4C2BB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3F505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FA3E9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404C6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BEBB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34483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B617D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AE30B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F494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BD5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3F666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48E40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246F0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1E02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0CC2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9249D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269A8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02677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D020F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9796F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883E8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D399F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C723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A30B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32D052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F76B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1A771E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 - o</w:t>
            </w:r>
            <w:r w:rsidR="00892308" w:rsidRPr="000B342C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493893" w:rsidRPr="000B342C">
              <w:rPr>
                <w:rFonts w:cs="Arial"/>
                <w:sz w:val="22"/>
                <w:szCs w:val="22"/>
              </w:rPr>
              <w:t>pod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8808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8AC7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0C316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708EF9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EB6C5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A73F55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58CE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6B387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62BA3A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13483C4" w14:textId="77777777" w:rsidR="006403F7" w:rsidRPr="00040178" w:rsidRDefault="00BA7E8C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Poznámka: Do sloupce označeného 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konkrétní část/části plnění, které hodlá zajistit pomocí </w:t>
      </w:r>
      <w:r w:rsidR="00493893" w:rsidRPr="00040178">
        <w:rPr>
          <w:sz w:val="22"/>
          <w:szCs w:val="22"/>
        </w:rPr>
        <w:t>poddodavatele</w:t>
      </w:r>
      <w:r w:rsidRPr="00040178">
        <w:rPr>
          <w:sz w:val="22"/>
          <w:szCs w:val="22"/>
        </w:rPr>
        <w:t xml:space="preserve">. Do sloupce označeného II.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procentní podíl </w:t>
      </w:r>
      <w:r w:rsidR="00493893" w:rsidRPr="00040178">
        <w:rPr>
          <w:sz w:val="22"/>
          <w:szCs w:val="22"/>
        </w:rPr>
        <w:t xml:space="preserve">poddodavatele </w:t>
      </w:r>
      <w:r w:rsidRPr="00040178">
        <w:rPr>
          <w:sz w:val="22"/>
          <w:szCs w:val="22"/>
        </w:rPr>
        <w:t>a poměrnou finanční částku na celkovém plnění vztaženém k celkové nabídkové ceně.</w:t>
      </w:r>
    </w:p>
    <w:p w14:paraId="24B81C5A" w14:textId="77777777" w:rsidR="00743107" w:rsidRDefault="00743107" w:rsidP="00040178">
      <w:pPr>
        <w:spacing w:after="120"/>
        <w:rPr>
          <w:sz w:val="22"/>
          <w:szCs w:val="22"/>
        </w:rPr>
      </w:pPr>
    </w:p>
    <w:p w14:paraId="0BB68514" w14:textId="6E2536E7" w:rsidR="00DF3DD6" w:rsidRDefault="004934D5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9C688F4" w14:textId="508101C2" w:rsidR="00743107" w:rsidRDefault="00743107" w:rsidP="00040178">
      <w:pPr>
        <w:spacing w:after="120"/>
        <w:rPr>
          <w:sz w:val="22"/>
          <w:szCs w:val="22"/>
        </w:rPr>
      </w:pPr>
    </w:p>
    <w:p w14:paraId="002D58E8" w14:textId="22B73FC2" w:rsidR="00743107" w:rsidRDefault="00743107" w:rsidP="00040178">
      <w:pPr>
        <w:spacing w:after="120"/>
        <w:rPr>
          <w:sz w:val="22"/>
          <w:szCs w:val="22"/>
        </w:rPr>
      </w:pPr>
    </w:p>
    <w:p w14:paraId="6B15BEF1" w14:textId="77777777" w:rsidR="003A632E" w:rsidRDefault="003A632E" w:rsidP="00040178">
      <w:pPr>
        <w:spacing w:after="120"/>
        <w:rPr>
          <w:sz w:val="22"/>
          <w:szCs w:val="22"/>
        </w:rPr>
      </w:pPr>
    </w:p>
    <w:p w14:paraId="4A28F3BB" w14:textId="201B2ABF" w:rsidR="00743107" w:rsidRDefault="00743107" w:rsidP="00040178">
      <w:pPr>
        <w:spacing w:after="120"/>
        <w:rPr>
          <w:sz w:val="22"/>
          <w:szCs w:val="22"/>
        </w:rPr>
      </w:pPr>
    </w:p>
    <w:p w14:paraId="4D43A4BF" w14:textId="3714188A" w:rsidR="00743107" w:rsidRDefault="00743107" w:rsidP="00040178">
      <w:pPr>
        <w:spacing w:after="120"/>
        <w:rPr>
          <w:sz w:val="22"/>
          <w:szCs w:val="22"/>
        </w:rPr>
      </w:pPr>
    </w:p>
    <w:p w14:paraId="18FE4837" w14:textId="77777777" w:rsidR="00743107" w:rsidRPr="00040178" w:rsidRDefault="00743107" w:rsidP="00040178">
      <w:pPr>
        <w:spacing w:after="120"/>
        <w:rPr>
          <w:sz w:val="22"/>
          <w:szCs w:val="22"/>
        </w:rPr>
      </w:pPr>
    </w:p>
    <w:p w14:paraId="2A36771E" w14:textId="08905DED" w:rsidR="00DF3DD6" w:rsidRPr="001F5128" w:rsidRDefault="00DF3DD6" w:rsidP="00DF3DD6">
      <w:pPr>
        <w:pStyle w:val="Nadpis1"/>
      </w:pPr>
      <w:r w:rsidRPr="00DF3DD6">
        <w:t xml:space="preserve">Hodnotící </w:t>
      </w:r>
      <w:r w:rsidRPr="001F5128">
        <w:t>kritéria</w:t>
      </w:r>
      <w:r w:rsidR="00C208CF" w:rsidRPr="001F5128">
        <w:t xml:space="preserve"> (rekapitulace)</w:t>
      </w:r>
    </w:p>
    <w:p w14:paraId="77F6B53D" w14:textId="0686EDAD" w:rsidR="00DF3DD6" w:rsidRPr="00037712" w:rsidRDefault="00DF3DD6" w:rsidP="00604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 w:val="22"/>
          <w:szCs w:val="22"/>
        </w:rPr>
      </w:pPr>
      <w:r w:rsidRPr="001F5128">
        <w:rPr>
          <w:rFonts w:cs="Arial"/>
          <w:sz w:val="22"/>
          <w:szCs w:val="22"/>
        </w:rPr>
        <w:t>1. Nabídková cena (v Kč)</w:t>
      </w:r>
      <w:r w:rsidR="00C208CF" w:rsidRPr="001F5128">
        <w:rPr>
          <w:rFonts w:cs="Arial"/>
          <w:sz w:val="22"/>
          <w:szCs w:val="22"/>
        </w:rPr>
        <w:t xml:space="preserve"> </w:t>
      </w:r>
      <w:r w:rsidR="00C208CF" w:rsidRPr="001F5128">
        <w:rPr>
          <w:rFonts w:cs="Arial"/>
          <w:b w:val="0"/>
          <w:bCs/>
          <w:sz w:val="22"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 w:val="22"/>
          <w:szCs w:val="22"/>
        </w:rPr>
        <w:t>doplněno ze smlouvy o dílo na PD, Čl. V. a ze smlouvy o dílo na AD, Čl. VIII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410"/>
      </w:tblGrid>
      <w:tr w:rsidR="00DF3DD6" w:rsidRPr="00E44BC2" w14:paraId="4DA1E053" w14:textId="77777777" w:rsidTr="00854777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E93E97C" w14:textId="35243610" w:rsidR="00DF3DD6" w:rsidRPr="00E44BC2" w:rsidRDefault="00DF3DD6" w:rsidP="00604DE4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B710B7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AD2CB9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63DA6D59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DF3DD6" w:rsidRPr="00E44BC2" w14:paraId="573644D4" w14:textId="77777777" w:rsidTr="00604DE4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14:paraId="5627A6B2" w14:textId="036FCD4B" w:rsidR="00DF3DD6" w:rsidRPr="00E84E76" w:rsidRDefault="003A632E" w:rsidP="003A632E">
            <w:pPr>
              <w:spacing w:after="120" w:line="280" w:lineRule="atLeast"/>
              <w:jc w:val="left"/>
              <w:rPr>
                <w:sz w:val="22"/>
                <w:szCs w:val="22"/>
              </w:rPr>
            </w:pPr>
            <w:r w:rsidRPr="00E84E76">
              <w:rPr>
                <w:rFonts w:cs="Arial"/>
                <w:sz w:val="22"/>
                <w:szCs w:val="22"/>
              </w:rPr>
              <w:t>Projektová dokumentace vč. geotechnického průzkumu</w:t>
            </w:r>
            <w:r w:rsidR="002A3F5D" w:rsidRPr="00E84E76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4A32CC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19E1581E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4FE34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03AED827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0521989F" w14:textId="77777777" w:rsidR="00BA0DDF" w:rsidRDefault="003A632E" w:rsidP="00C208CF">
            <w:pPr>
              <w:spacing w:after="120" w:line="280" w:lineRule="atLeast"/>
              <w:jc w:val="left"/>
              <w:rPr>
                <w:rFonts w:cs="Arial"/>
                <w:sz w:val="22"/>
                <w:szCs w:val="22"/>
              </w:rPr>
            </w:pPr>
            <w:r w:rsidRPr="00E84E76">
              <w:rPr>
                <w:rFonts w:cs="Arial"/>
                <w:sz w:val="22"/>
                <w:szCs w:val="22"/>
              </w:rPr>
              <w:t xml:space="preserve">Autorský dozor </w:t>
            </w:r>
          </w:p>
          <w:p w14:paraId="57FB5D58" w14:textId="4C34154A" w:rsidR="00DF3DD6" w:rsidRPr="00E84E76" w:rsidRDefault="003A632E" w:rsidP="00C208CF">
            <w:pPr>
              <w:spacing w:after="120" w:line="280" w:lineRule="atLeast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E84E76">
              <w:rPr>
                <w:rFonts w:cs="Arial"/>
                <w:sz w:val="22"/>
                <w:szCs w:val="22"/>
              </w:rPr>
              <w:t>(celkem za všechny stavební objekty)</w:t>
            </w:r>
          </w:p>
        </w:tc>
        <w:tc>
          <w:tcPr>
            <w:tcW w:w="1985" w:type="dxa"/>
            <w:vAlign w:val="center"/>
          </w:tcPr>
          <w:p w14:paraId="6138DB20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D3B328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430DCE4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6FE4A42A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65A714A7" w14:textId="7F4FC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72E8F">
              <w:rPr>
                <w:rFonts w:cs="Arial"/>
                <w:sz w:val="22"/>
                <w:szCs w:val="22"/>
              </w:rPr>
              <w:t>Cena celkem</w:t>
            </w:r>
          </w:p>
        </w:tc>
        <w:tc>
          <w:tcPr>
            <w:tcW w:w="1985" w:type="dxa"/>
            <w:vAlign w:val="center"/>
          </w:tcPr>
          <w:p w14:paraId="55D02541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2D321F9B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6F353D9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</w:tr>
    </w:tbl>
    <w:p w14:paraId="317AD4AC" w14:textId="3C4B145B" w:rsidR="00DF3DD6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</w:p>
    <w:p w14:paraId="2758BF67" w14:textId="77777777" w:rsidR="003A632E" w:rsidRDefault="003A632E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</w:p>
    <w:p w14:paraId="503D963C" w14:textId="24E2CA8E" w:rsidR="00DF3DD6" w:rsidRPr="00037712" w:rsidRDefault="00DF3DD6" w:rsidP="00DF3DD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2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záruční </w:t>
      </w:r>
      <w:r w:rsidRPr="001F5128">
        <w:rPr>
          <w:rFonts w:cs="Arial"/>
          <w:szCs w:val="22"/>
        </w:rPr>
        <w:t>lhůty</w:t>
      </w:r>
      <w:r w:rsidR="00C208CF" w:rsidRPr="001F5128">
        <w:rPr>
          <w:rFonts w:cs="Arial"/>
          <w:szCs w:val="22"/>
        </w:rPr>
        <w:t xml:space="preserve"> </w:t>
      </w:r>
      <w:r w:rsidR="00C208CF" w:rsidRPr="001F5128">
        <w:rPr>
          <w:rFonts w:cs="Arial"/>
          <w:b w:val="0"/>
          <w:bCs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Cs w:val="22"/>
        </w:rPr>
        <w:t>doplněno ze smlouvy o dílo na PD, Čl. VI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78206319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B96E23" w14:textId="5B1CEA70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záruční </w:t>
            </w:r>
            <w:r>
              <w:rPr>
                <w:rFonts w:cs="Arial"/>
                <w:szCs w:val="22"/>
              </w:rPr>
              <w:t>lhůt</w:t>
            </w:r>
            <w:r w:rsidRPr="00B72E8F">
              <w:rPr>
                <w:rFonts w:cs="Arial"/>
                <w:szCs w:val="22"/>
              </w:rPr>
              <w:t>y 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C3159A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0D86B217" w14:textId="6A571FFE" w:rsidR="00DF3DD6" w:rsidRDefault="00DF3DD6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>Minimální délka záruční lhůty je 60 měsíců. Maximální délka je stanovena na 84 měsíců</w:t>
      </w:r>
      <w:r w:rsidR="00604DE4">
        <w:rPr>
          <w:rFonts w:cs="Arial"/>
          <w:b w:val="0"/>
          <w:bCs/>
          <w:sz w:val="22"/>
          <w:szCs w:val="22"/>
        </w:rPr>
        <w:t>.</w:t>
      </w:r>
    </w:p>
    <w:p w14:paraId="2B7343D1" w14:textId="12B38BD1" w:rsidR="00604DE4" w:rsidRDefault="00604DE4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rPr>
          <w:rFonts w:cs="Arial"/>
          <w:b w:val="0"/>
          <w:bCs/>
          <w:sz w:val="22"/>
          <w:szCs w:val="22"/>
        </w:rPr>
      </w:pPr>
    </w:p>
    <w:p w14:paraId="0D0789A6" w14:textId="77777777" w:rsidR="003A632E" w:rsidRPr="00220AB3" w:rsidRDefault="003A632E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rPr>
          <w:rFonts w:cs="Arial"/>
          <w:b w:val="0"/>
          <w:bCs/>
          <w:sz w:val="22"/>
          <w:szCs w:val="22"/>
        </w:rPr>
      </w:pPr>
    </w:p>
    <w:p w14:paraId="4271A70E" w14:textId="7C24A535" w:rsidR="00DF3DD6" w:rsidRPr="00037712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3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</w:t>
      </w:r>
      <w:r w:rsidR="00220AB3">
        <w:rPr>
          <w:rFonts w:cs="Arial"/>
          <w:szCs w:val="22"/>
        </w:rPr>
        <w:t>období pro bezplatnou aktualizaci PD</w:t>
      </w:r>
      <w:r w:rsidRPr="00151922">
        <w:rPr>
          <w:rFonts w:cs="Arial"/>
          <w:b w:val="0"/>
          <w:bCs/>
          <w:szCs w:val="22"/>
        </w:rPr>
        <w:t xml:space="preserve"> </w:t>
      </w:r>
      <w:r w:rsidR="00151922" w:rsidRPr="001F5128">
        <w:rPr>
          <w:rFonts w:cs="Arial"/>
          <w:b w:val="0"/>
          <w:bCs/>
          <w:szCs w:val="22"/>
        </w:rPr>
        <w:t xml:space="preserve">– </w:t>
      </w:r>
      <w:r w:rsidR="00151922" w:rsidRPr="00546B30">
        <w:rPr>
          <w:rFonts w:cs="Arial"/>
          <w:b w:val="0"/>
          <w:bCs/>
          <w:i/>
          <w:iCs/>
          <w:szCs w:val="22"/>
        </w:rPr>
        <w:t>doplněno ze smlouvy o dílo na PD, Čl. VII.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0E208E45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1D229D07" w14:textId="7FFD7C05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</w:t>
            </w:r>
            <w:r w:rsidR="00220AB3">
              <w:rPr>
                <w:rFonts w:cs="Arial"/>
                <w:szCs w:val="22"/>
              </w:rPr>
              <w:t>období pro bezplatnou aktualizaci PD</w:t>
            </w:r>
            <w:r w:rsidR="00220AB3" w:rsidRPr="00037712">
              <w:rPr>
                <w:rFonts w:cs="Arial"/>
                <w:szCs w:val="22"/>
              </w:rPr>
              <w:t xml:space="preserve"> </w:t>
            </w:r>
            <w:r w:rsidR="00604DE4">
              <w:rPr>
                <w:rFonts w:cs="Arial"/>
                <w:szCs w:val="22"/>
              </w:rPr>
              <w:br/>
            </w:r>
            <w:r w:rsidRPr="00B72E8F">
              <w:rPr>
                <w:rFonts w:cs="Arial"/>
                <w:szCs w:val="22"/>
              </w:rPr>
              <w:t>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EEE052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11FEB6CD" w14:textId="25076742" w:rsidR="00DF3DD6" w:rsidRPr="00220AB3" w:rsidRDefault="00DF3DD6" w:rsidP="00C946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 xml:space="preserve">Minimální délka </w:t>
      </w:r>
      <w:r w:rsidR="00220AB3" w:rsidRPr="00220AB3">
        <w:rPr>
          <w:rFonts w:cs="Arial"/>
          <w:b w:val="0"/>
          <w:bCs/>
          <w:sz w:val="22"/>
          <w:szCs w:val="22"/>
        </w:rPr>
        <w:t xml:space="preserve">období pro bezplatnou aktualizaci PD </w:t>
      </w:r>
      <w:r w:rsidRPr="00220AB3">
        <w:rPr>
          <w:rFonts w:cs="Arial"/>
          <w:b w:val="0"/>
          <w:bCs/>
          <w:sz w:val="22"/>
          <w:szCs w:val="22"/>
        </w:rPr>
        <w:t xml:space="preserve">je 36 měsíců. Maximální délka je stanovena na </w:t>
      </w:r>
      <w:r w:rsidR="00DF0CDC">
        <w:rPr>
          <w:rFonts w:cs="Arial"/>
          <w:b w:val="0"/>
          <w:bCs/>
          <w:sz w:val="22"/>
          <w:szCs w:val="22"/>
        </w:rPr>
        <w:t>60</w:t>
      </w:r>
      <w:r w:rsidRPr="00220AB3">
        <w:rPr>
          <w:rFonts w:cs="Arial"/>
          <w:b w:val="0"/>
          <w:bCs/>
          <w:sz w:val="22"/>
          <w:szCs w:val="22"/>
        </w:rPr>
        <w:t xml:space="preserve"> měsíců</w:t>
      </w:r>
    </w:p>
    <w:p w14:paraId="6290AD5A" w14:textId="159E8153" w:rsidR="00183564" w:rsidRDefault="00183564" w:rsidP="00C946CA">
      <w:pPr>
        <w:spacing w:before="0" w:after="0"/>
        <w:rPr>
          <w:sz w:val="22"/>
          <w:szCs w:val="22"/>
        </w:rPr>
      </w:pPr>
    </w:p>
    <w:p w14:paraId="7CD409D7" w14:textId="6D8A8240" w:rsidR="003A632E" w:rsidRDefault="003A632E" w:rsidP="00C946CA">
      <w:pPr>
        <w:spacing w:before="0" w:after="0"/>
        <w:rPr>
          <w:sz w:val="22"/>
          <w:szCs w:val="22"/>
        </w:rPr>
      </w:pPr>
    </w:p>
    <w:p w14:paraId="75B3C8E8" w14:textId="0D2F6FA2" w:rsidR="003A632E" w:rsidRDefault="003A632E" w:rsidP="00C946CA">
      <w:pPr>
        <w:spacing w:before="0" w:after="0"/>
        <w:rPr>
          <w:sz w:val="22"/>
          <w:szCs w:val="22"/>
        </w:rPr>
      </w:pPr>
    </w:p>
    <w:p w14:paraId="6FDA5D5C" w14:textId="273C8583" w:rsidR="003A632E" w:rsidRDefault="003A632E" w:rsidP="00C946CA">
      <w:pPr>
        <w:spacing w:before="0" w:after="0"/>
        <w:rPr>
          <w:sz w:val="22"/>
          <w:szCs w:val="22"/>
        </w:rPr>
      </w:pPr>
    </w:p>
    <w:p w14:paraId="57DACC6E" w14:textId="7FE169A1" w:rsidR="003A632E" w:rsidRDefault="003A632E" w:rsidP="00C946CA">
      <w:pPr>
        <w:spacing w:before="0" w:after="0"/>
        <w:rPr>
          <w:sz w:val="22"/>
          <w:szCs w:val="22"/>
        </w:rPr>
      </w:pPr>
    </w:p>
    <w:p w14:paraId="059E453F" w14:textId="23D329D3" w:rsidR="003A632E" w:rsidRDefault="003A632E" w:rsidP="00C946CA">
      <w:pPr>
        <w:spacing w:before="0" w:after="0"/>
        <w:rPr>
          <w:sz w:val="22"/>
          <w:szCs w:val="22"/>
        </w:rPr>
      </w:pPr>
    </w:p>
    <w:p w14:paraId="76F8565F" w14:textId="301668BC" w:rsidR="003A632E" w:rsidRDefault="003A632E" w:rsidP="00C946CA">
      <w:pPr>
        <w:spacing w:before="0" w:after="0"/>
        <w:rPr>
          <w:sz w:val="22"/>
          <w:szCs w:val="22"/>
        </w:rPr>
      </w:pPr>
    </w:p>
    <w:p w14:paraId="66BCAF43" w14:textId="6F9C9BAB" w:rsidR="003A632E" w:rsidRDefault="003A632E" w:rsidP="00C946CA">
      <w:pPr>
        <w:spacing w:before="0" w:after="0"/>
        <w:rPr>
          <w:sz w:val="22"/>
          <w:szCs w:val="22"/>
        </w:rPr>
      </w:pPr>
    </w:p>
    <w:p w14:paraId="660CD266" w14:textId="14F086D2" w:rsidR="003A632E" w:rsidRDefault="003A632E" w:rsidP="00C946CA">
      <w:pPr>
        <w:spacing w:before="0" w:after="0"/>
        <w:rPr>
          <w:sz w:val="22"/>
          <w:szCs w:val="22"/>
        </w:rPr>
      </w:pPr>
    </w:p>
    <w:p w14:paraId="6A70F21D" w14:textId="0A053BD9" w:rsidR="003A632E" w:rsidRDefault="003A632E" w:rsidP="00C946CA">
      <w:pPr>
        <w:spacing w:before="0" w:after="0"/>
        <w:rPr>
          <w:sz w:val="22"/>
          <w:szCs w:val="22"/>
        </w:rPr>
      </w:pPr>
    </w:p>
    <w:p w14:paraId="05D5AA3C" w14:textId="70F06E53" w:rsidR="003A632E" w:rsidRDefault="003A632E" w:rsidP="00C946CA">
      <w:pPr>
        <w:spacing w:before="0" w:after="0"/>
        <w:rPr>
          <w:sz w:val="22"/>
          <w:szCs w:val="22"/>
        </w:rPr>
      </w:pPr>
    </w:p>
    <w:p w14:paraId="52C55EA3" w14:textId="78CC700C" w:rsidR="003A632E" w:rsidRDefault="003A632E" w:rsidP="00C946CA">
      <w:pPr>
        <w:spacing w:before="0" w:after="0"/>
        <w:rPr>
          <w:sz w:val="22"/>
          <w:szCs w:val="22"/>
        </w:rPr>
      </w:pPr>
    </w:p>
    <w:p w14:paraId="55F37E95" w14:textId="2A3ADFD2" w:rsidR="003A632E" w:rsidRDefault="003A632E" w:rsidP="00C946CA">
      <w:pPr>
        <w:spacing w:before="0" w:after="0"/>
        <w:rPr>
          <w:sz w:val="22"/>
          <w:szCs w:val="22"/>
        </w:rPr>
      </w:pPr>
    </w:p>
    <w:p w14:paraId="2FA93E80" w14:textId="612A1002" w:rsidR="003A632E" w:rsidRDefault="003A632E" w:rsidP="00C946CA">
      <w:pPr>
        <w:spacing w:before="0" w:after="0"/>
        <w:rPr>
          <w:sz w:val="22"/>
          <w:szCs w:val="22"/>
        </w:rPr>
      </w:pPr>
    </w:p>
    <w:p w14:paraId="25B50434" w14:textId="77777777" w:rsidR="003A632E" w:rsidRDefault="003A632E" w:rsidP="00C946CA">
      <w:pPr>
        <w:spacing w:before="0" w:after="0"/>
        <w:rPr>
          <w:sz w:val="22"/>
          <w:szCs w:val="22"/>
        </w:rPr>
      </w:pPr>
    </w:p>
    <w:p w14:paraId="75DA94B9" w14:textId="5D8873D1" w:rsidR="003A632E" w:rsidRDefault="003A632E" w:rsidP="00C946CA">
      <w:pPr>
        <w:spacing w:before="0" w:after="0"/>
        <w:rPr>
          <w:sz w:val="22"/>
          <w:szCs w:val="22"/>
        </w:rPr>
      </w:pPr>
    </w:p>
    <w:p w14:paraId="56D00772" w14:textId="05BA772F" w:rsidR="003A632E" w:rsidRDefault="003A632E" w:rsidP="00C946CA">
      <w:pPr>
        <w:spacing w:before="0" w:after="0"/>
        <w:rPr>
          <w:sz w:val="22"/>
          <w:szCs w:val="22"/>
        </w:rPr>
      </w:pPr>
    </w:p>
    <w:p w14:paraId="5D7B0696" w14:textId="53B89164" w:rsidR="003A632E" w:rsidRDefault="003A632E" w:rsidP="00C946CA">
      <w:pPr>
        <w:spacing w:before="0" w:after="0"/>
        <w:rPr>
          <w:sz w:val="22"/>
          <w:szCs w:val="22"/>
        </w:rPr>
      </w:pPr>
    </w:p>
    <w:p w14:paraId="1D942805" w14:textId="77777777" w:rsidR="003A632E" w:rsidRPr="0013417F" w:rsidRDefault="003A632E" w:rsidP="00C946CA">
      <w:pPr>
        <w:spacing w:before="0" w:after="0"/>
        <w:rPr>
          <w:sz w:val="22"/>
          <w:szCs w:val="22"/>
        </w:rPr>
      </w:pPr>
    </w:p>
    <w:p w14:paraId="63573D2B" w14:textId="77777777" w:rsidR="009C2093" w:rsidRPr="009107EF" w:rsidRDefault="00183564" w:rsidP="00183564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DA74C8B" w14:textId="77777777" w:rsidR="0001733A" w:rsidRPr="0013417F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 xml:space="preserve">Jako </w:t>
      </w:r>
      <w:r w:rsidR="000E2A2B" w:rsidRPr="0013417F">
        <w:rPr>
          <w:rFonts w:cs="Arial"/>
          <w:bCs/>
          <w:sz w:val="22"/>
          <w:szCs w:val="22"/>
        </w:rPr>
        <w:t>osoba oprávněná jednat za dodavatele</w:t>
      </w:r>
      <w:r w:rsidRPr="0013417F">
        <w:rPr>
          <w:rFonts w:cs="Arial"/>
          <w:bCs/>
          <w:sz w:val="22"/>
          <w:szCs w:val="22"/>
        </w:rPr>
        <w:t xml:space="preserve"> ………., IČO……………., se sídlem ………………….tímto uděluji plnou moc</w:t>
      </w:r>
    </w:p>
    <w:p w14:paraId="5630362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paní/panu ……………………….,</w:t>
      </w:r>
    </w:p>
    <w:p w14:paraId="129B59B5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bytem ………………….., datum nar</w:t>
      </w:r>
      <w:r w:rsidR="0045093D" w:rsidRPr="0013417F">
        <w:rPr>
          <w:rFonts w:cs="Arial"/>
          <w:bCs/>
          <w:sz w:val="22"/>
          <w:szCs w:val="22"/>
        </w:rPr>
        <w:t>…………………..,</w:t>
      </w:r>
    </w:p>
    <w:p w14:paraId="6CCD23C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(dále jako „zmocněnec“)</w:t>
      </w:r>
    </w:p>
    <w:p w14:paraId="14E398BD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>aby jménem výše uvedené společnosti podal</w:t>
      </w:r>
      <w:r w:rsidR="000745AC" w:rsidRPr="0013417F">
        <w:rPr>
          <w:sz w:val="22"/>
          <w:szCs w:val="22"/>
        </w:rPr>
        <w:t>/a</w:t>
      </w:r>
      <w:r w:rsidRPr="0013417F">
        <w:rPr>
          <w:sz w:val="22"/>
          <w:szCs w:val="22"/>
        </w:rPr>
        <w:t xml:space="preserve"> prostřednictvím elektronického nástroje E-ZAK nabídku pro veřejnou zakázku s názvem ……………………………</w:t>
      </w:r>
      <w:r w:rsidR="00CA3C2A" w:rsidRPr="0013417F">
        <w:rPr>
          <w:sz w:val="22"/>
          <w:szCs w:val="22"/>
        </w:rPr>
        <w:t>…</w:t>
      </w:r>
    </w:p>
    <w:p w14:paraId="7A674AB8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 xml:space="preserve">Zmocněnec </w:t>
      </w:r>
      <w:r w:rsidR="00CA3C2A" w:rsidRPr="0013417F">
        <w:rPr>
          <w:sz w:val="22"/>
          <w:szCs w:val="22"/>
        </w:rPr>
        <w:t xml:space="preserve">je rovněž oprávněn elektronicky komunikovat v rámci zadávacího řízení </w:t>
      </w:r>
      <w:r w:rsidR="008F5056" w:rsidRPr="0013417F">
        <w:rPr>
          <w:sz w:val="22"/>
          <w:szCs w:val="22"/>
        </w:rPr>
        <w:br/>
      </w:r>
      <w:r w:rsidR="00CA3C2A" w:rsidRPr="0013417F">
        <w:rPr>
          <w:sz w:val="22"/>
          <w:szCs w:val="22"/>
        </w:rPr>
        <w:t>se zadavatelem.</w:t>
      </w:r>
    </w:p>
    <w:p w14:paraId="67AA80A8" w14:textId="77777777" w:rsidR="00F83E15" w:rsidRPr="0013417F" w:rsidRDefault="00F83E15" w:rsidP="00604DE4">
      <w:pPr>
        <w:spacing w:after="0"/>
        <w:rPr>
          <w:sz w:val="22"/>
          <w:szCs w:val="22"/>
        </w:rPr>
      </w:pPr>
      <w:r w:rsidRPr="0013417F">
        <w:rPr>
          <w:sz w:val="22"/>
          <w:szCs w:val="22"/>
        </w:rPr>
        <w:t xml:space="preserve">Tato plná moc je platná do odvolání. </w:t>
      </w:r>
    </w:p>
    <w:p w14:paraId="7922A3F7" w14:textId="77777777" w:rsidR="00604DE4" w:rsidRPr="0013417F" w:rsidRDefault="00604DE4" w:rsidP="00604DE4">
      <w:pPr>
        <w:spacing w:before="0" w:after="0" w:line="276" w:lineRule="auto"/>
        <w:rPr>
          <w:rFonts w:cs="Arial"/>
          <w:bCs/>
          <w:sz w:val="22"/>
          <w:szCs w:val="22"/>
        </w:rPr>
      </w:pPr>
    </w:p>
    <w:p w14:paraId="61F391E4" w14:textId="386EBE74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0B8D329F" w14:textId="77777777" w:rsidR="00546B30" w:rsidRDefault="00546B30" w:rsidP="00604DE4">
      <w:pPr>
        <w:spacing w:before="0" w:after="0"/>
        <w:rPr>
          <w:color w:val="000000"/>
          <w:sz w:val="22"/>
          <w:szCs w:val="22"/>
        </w:rPr>
      </w:pPr>
    </w:p>
    <w:p w14:paraId="5F19DEEC" w14:textId="77777777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0A92FBBE" w14:textId="77777777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67B02C16" w14:textId="7E89E13E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color w:val="000000"/>
          <w:sz w:val="22"/>
          <w:szCs w:val="22"/>
        </w:rPr>
        <w:t>V 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color w:val="000000"/>
          <w:sz w:val="22"/>
          <w:szCs w:val="22"/>
          <w:highlight w:val="lightGray"/>
        </w:rPr>
        <w:t>,</w:t>
      </w:r>
      <w:r w:rsidRPr="0013417F">
        <w:rPr>
          <w:color w:val="000000"/>
          <w:sz w:val="22"/>
          <w:szCs w:val="22"/>
        </w:rPr>
        <w:t xml:space="preserve"> dne 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sz w:val="22"/>
          <w:szCs w:val="22"/>
        </w:rPr>
        <w:t xml:space="preserve">  </w:t>
      </w:r>
    </w:p>
    <w:p w14:paraId="6C98480B" w14:textId="43D05102" w:rsidR="00CC446F" w:rsidRDefault="00CC446F" w:rsidP="00604DE4">
      <w:pPr>
        <w:spacing w:before="0" w:after="0"/>
        <w:rPr>
          <w:sz w:val="22"/>
          <w:szCs w:val="22"/>
        </w:rPr>
      </w:pPr>
    </w:p>
    <w:p w14:paraId="29C0A147" w14:textId="5DF7FBAE" w:rsidR="003A632E" w:rsidRDefault="003A632E" w:rsidP="00604DE4">
      <w:pPr>
        <w:spacing w:before="0" w:after="0"/>
        <w:rPr>
          <w:sz w:val="22"/>
          <w:szCs w:val="22"/>
        </w:rPr>
      </w:pPr>
    </w:p>
    <w:p w14:paraId="0D7F28B7" w14:textId="4FAAE21F" w:rsidR="003A632E" w:rsidRDefault="003A632E" w:rsidP="00604DE4">
      <w:pPr>
        <w:spacing w:before="0" w:after="0"/>
        <w:rPr>
          <w:sz w:val="22"/>
          <w:szCs w:val="22"/>
        </w:rPr>
      </w:pPr>
    </w:p>
    <w:p w14:paraId="69B19DAB" w14:textId="57DEA57A" w:rsidR="003A632E" w:rsidRDefault="003A632E" w:rsidP="00604DE4">
      <w:pPr>
        <w:spacing w:before="0" w:after="0"/>
        <w:rPr>
          <w:sz w:val="22"/>
          <w:szCs w:val="22"/>
        </w:rPr>
      </w:pPr>
    </w:p>
    <w:p w14:paraId="137F1483" w14:textId="70C9470C" w:rsidR="003A632E" w:rsidRDefault="003A632E" w:rsidP="00604DE4">
      <w:pPr>
        <w:spacing w:before="0" w:after="0"/>
        <w:rPr>
          <w:sz w:val="22"/>
          <w:szCs w:val="22"/>
        </w:rPr>
      </w:pPr>
    </w:p>
    <w:p w14:paraId="74B796CF" w14:textId="0529D926" w:rsidR="003A632E" w:rsidRDefault="003A632E" w:rsidP="00604DE4">
      <w:pPr>
        <w:spacing w:before="0" w:after="0"/>
        <w:rPr>
          <w:sz w:val="22"/>
          <w:szCs w:val="22"/>
        </w:rPr>
      </w:pPr>
    </w:p>
    <w:p w14:paraId="317C4BAA" w14:textId="41A34E0C" w:rsidR="003A632E" w:rsidRDefault="003A632E" w:rsidP="00604DE4">
      <w:pPr>
        <w:spacing w:before="0" w:after="0"/>
        <w:rPr>
          <w:sz w:val="22"/>
          <w:szCs w:val="22"/>
        </w:rPr>
      </w:pPr>
    </w:p>
    <w:p w14:paraId="30F60916" w14:textId="7151E378" w:rsidR="003A632E" w:rsidRDefault="003A632E" w:rsidP="00604DE4">
      <w:pPr>
        <w:spacing w:before="0" w:after="0"/>
        <w:rPr>
          <w:sz w:val="22"/>
          <w:szCs w:val="22"/>
        </w:rPr>
      </w:pPr>
    </w:p>
    <w:p w14:paraId="6D906CCD" w14:textId="6843131F" w:rsidR="003A632E" w:rsidRDefault="003A632E" w:rsidP="00604DE4">
      <w:pPr>
        <w:spacing w:before="0" w:after="0"/>
        <w:rPr>
          <w:sz w:val="22"/>
          <w:szCs w:val="22"/>
        </w:rPr>
      </w:pPr>
    </w:p>
    <w:p w14:paraId="704187D1" w14:textId="4ACB855A" w:rsidR="003A632E" w:rsidRDefault="003A632E" w:rsidP="00604DE4">
      <w:pPr>
        <w:spacing w:before="0" w:after="0"/>
        <w:rPr>
          <w:sz w:val="22"/>
          <w:szCs w:val="22"/>
        </w:rPr>
      </w:pPr>
    </w:p>
    <w:p w14:paraId="7CC7B3F8" w14:textId="665D8AEF" w:rsidR="003A632E" w:rsidRDefault="003A632E" w:rsidP="00604DE4">
      <w:pPr>
        <w:spacing w:before="0" w:after="0"/>
        <w:rPr>
          <w:sz w:val="22"/>
          <w:szCs w:val="22"/>
        </w:rPr>
      </w:pPr>
    </w:p>
    <w:p w14:paraId="2DA7DBCD" w14:textId="14AE53E2" w:rsidR="003A632E" w:rsidRDefault="003A632E" w:rsidP="00604DE4">
      <w:pPr>
        <w:spacing w:before="0" w:after="0"/>
        <w:rPr>
          <w:sz w:val="22"/>
          <w:szCs w:val="22"/>
        </w:rPr>
      </w:pPr>
    </w:p>
    <w:p w14:paraId="7ED4BC05" w14:textId="77777777" w:rsidR="003A632E" w:rsidRDefault="003A632E" w:rsidP="00604DE4">
      <w:pPr>
        <w:spacing w:before="0" w:after="0"/>
        <w:rPr>
          <w:sz w:val="22"/>
          <w:szCs w:val="22"/>
        </w:rPr>
      </w:pPr>
    </w:p>
    <w:p w14:paraId="2910B819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bookmarkStart w:id="0" w:name="Text16"/>
      <w:r w:rsidRPr="0013417F">
        <w:rPr>
          <w:sz w:val="22"/>
          <w:szCs w:val="22"/>
        </w:rPr>
        <w:t>……………………………………….</w:t>
      </w:r>
      <w:r w:rsidRPr="0013417F">
        <w:rPr>
          <w:sz w:val="22"/>
          <w:szCs w:val="22"/>
        </w:rPr>
        <w:br/>
      </w:r>
      <w:bookmarkEnd w:id="0"/>
      <w:r w:rsidRPr="0013417F">
        <w:rPr>
          <w:sz w:val="22"/>
          <w:szCs w:val="22"/>
        </w:rPr>
        <w:t>Titul, jméno, příjmení, funkce</w:t>
      </w:r>
    </w:p>
    <w:p w14:paraId="0173525B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sz w:val="22"/>
          <w:szCs w:val="22"/>
        </w:rPr>
        <w:t>Podpis osoby oprávněné jednat za dodavatele</w:t>
      </w:r>
    </w:p>
    <w:sectPr w:rsidR="00CC446F" w:rsidRPr="0013417F" w:rsidSect="00DB31BF">
      <w:headerReference w:type="default" r:id="rId9"/>
      <w:footerReference w:type="default" r:id="rId10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83A5D" w14:textId="77777777" w:rsidR="00CF003E" w:rsidRDefault="00CF003E" w:rsidP="008E4AD5">
      <w:r>
        <w:separator/>
      </w:r>
    </w:p>
  </w:endnote>
  <w:endnote w:type="continuationSeparator" w:id="0">
    <w:p w14:paraId="77514A21" w14:textId="77777777" w:rsidR="00CF003E" w:rsidRDefault="00CF00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6D49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BBE10" w14:textId="77777777" w:rsidR="00CF003E" w:rsidRDefault="00CF003E" w:rsidP="008E4AD5">
      <w:r>
        <w:separator/>
      </w:r>
    </w:p>
  </w:footnote>
  <w:footnote w:type="continuationSeparator" w:id="0">
    <w:p w14:paraId="1970A3A2" w14:textId="77777777" w:rsidR="00CF003E" w:rsidRDefault="00CF00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1E5D" w14:textId="6DFCB901" w:rsidR="00D40D0E" w:rsidRPr="003F3EC9" w:rsidRDefault="00D42CD1">
    <w:pPr>
      <w:pStyle w:val="Zhlav"/>
      <w:rPr>
        <w:rFonts w:cs="Arial"/>
        <w:sz w:val="22"/>
        <w:szCs w:val="22"/>
      </w:rPr>
    </w:pPr>
    <w:r w:rsidRPr="003F3EC9">
      <w:rPr>
        <w:rFonts w:cs="Arial"/>
        <w:sz w:val="22"/>
        <w:szCs w:val="22"/>
      </w:rPr>
      <w:t>Příloha č.</w:t>
    </w:r>
    <w:r w:rsidR="00854768" w:rsidRPr="003F3EC9">
      <w:rPr>
        <w:rFonts w:cs="Arial"/>
        <w:sz w:val="22"/>
        <w:szCs w:val="22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001"/>
    <w:multiLevelType w:val="hybridMultilevel"/>
    <w:tmpl w:val="24727B86"/>
    <w:lvl w:ilvl="0" w:tplc="A80A20DC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178"/>
    <w:rsid w:val="000405B0"/>
    <w:rsid w:val="00051D5F"/>
    <w:rsid w:val="00063699"/>
    <w:rsid w:val="000745AC"/>
    <w:rsid w:val="00083130"/>
    <w:rsid w:val="0008533B"/>
    <w:rsid w:val="000A12F9"/>
    <w:rsid w:val="000A1B83"/>
    <w:rsid w:val="000A1FC5"/>
    <w:rsid w:val="000B1042"/>
    <w:rsid w:val="000B342C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17DB"/>
    <w:rsid w:val="00124F69"/>
    <w:rsid w:val="00125C35"/>
    <w:rsid w:val="0013417F"/>
    <w:rsid w:val="0014114C"/>
    <w:rsid w:val="00151922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502C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128"/>
    <w:rsid w:val="002003AB"/>
    <w:rsid w:val="00205320"/>
    <w:rsid w:val="00211FE6"/>
    <w:rsid w:val="00213DEF"/>
    <w:rsid w:val="00215A69"/>
    <w:rsid w:val="00216361"/>
    <w:rsid w:val="002177BB"/>
    <w:rsid w:val="00217FAC"/>
    <w:rsid w:val="00220AB3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3F5D"/>
    <w:rsid w:val="002A5F38"/>
    <w:rsid w:val="002B0A45"/>
    <w:rsid w:val="002B198B"/>
    <w:rsid w:val="002B7B28"/>
    <w:rsid w:val="002C2C44"/>
    <w:rsid w:val="002C3B7E"/>
    <w:rsid w:val="002C405B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7525E"/>
    <w:rsid w:val="00393FE5"/>
    <w:rsid w:val="003A34D8"/>
    <w:rsid w:val="003A3601"/>
    <w:rsid w:val="003A632E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EC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4E08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B30"/>
    <w:rsid w:val="005500B1"/>
    <w:rsid w:val="00554D0D"/>
    <w:rsid w:val="00555272"/>
    <w:rsid w:val="00560140"/>
    <w:rsid w:val="00560642"/>
    <w:rsid w:val="0057233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4DE4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1DFD"/>
    <w:rsid w:val="00703D7C"/>
    <w:rsid w:val="007040FE"/>
    <w:rsid w:val="00721FEE"/>
    <w:rsid w:val="00732928"/>
    <w:rsid w:val="00743107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3284"/>
    <w:rsid w:val="008401B6"/>
    <w:rsid w:val="008470B5"/>
    <w:rsid w:val="00850EF5"/>
    <w:rsid w:val="00851F46"/>
    <w:rsid w:val="00854768"/>
    <w:rsid w:val="00856BB7"/>
    <w:rsid w:val="008724A7"/>
    <w:rsid w:val="00877675"/>
    <w:rsid w:val="00877902"/>
    <w:rsid w:val="00885E03"/>
    <w:rsid w:val="00887BD5"/>
    <w:rsid w:val="008919CC"/>
    <w:rsid w:val="00892308"/>
    <w:rsid w:val="008A15C1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244A"/>
    <w:rsid w:val="009651F0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0DDF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A86"/>
    <w:rsid w:val="00BF780F"/>
    <w:rsid w:val="00C05E97"/>
    <w:rsid w:val="00C06A34"/>
    <w:rsid w:val="00C1078D"/>
    <w:rsid w:val="00C144EE"/>
    <w:rsid w:val="00C208CF"/>
    <w:rsid w:val="00C2642D"/>
    <w:rsid w:val="00C30752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6CA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21E7"/>
    <w:rsid w:val="00CE3667"/>
    <w:rsid w:val="00CF003E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D15"/>
    <w:rsid w:val="00D50D9E"/>
    <w:rsid w:val="00D6547C"/>
    <w:rsid w:val="00D65648"/>
    <w:rsid w:val="00D65FFA"/>
    <w:rsid w:val="00D73DF4"/>
    <w:rsid w:val="00D83EDF"/>
    <w:rsid w:val="00D921EB"/>
    <w:rsid w:val="00DA1357"/>
    <w:rsid w:val="00DA5621"/>
    <w:rsid w:val="00DB1564"/>
    <w:rsid w:val="00DB1710"/>
    <w:rsid w:val="00DB31BF"/>
    <w:rsid w:val="00DB4515"/>
    <w:rsid w:val="00DC17BF"/>
    <w:rsid w:val="00DC2086"/>
    <w:rsid w:val="00DC37AF"/>
    <w:rsid w:val="00DD3FE2"/>
    <w:rsid w:val="00DE2478"/>
    <w:rsid w:val="00DE435F"/>
    <w:rsid w:val="00DE57C8"/>
    <w:rsid w:val="00DE73C9"/>
    <w:rsid w:val="00DF0701"/>
    <w:rsid w:val="00DF0CDC"/>
    <w:rsid w:val="00DF3DD6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909"/>
    <w:rsid w:val="00E75DD4"/>
    <w:rsid w:val="00E81A99"/>
    <w:rsid w:val="00E827FD"/>
    <w:rsid w:val="00E84E76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5F2D"/>
    <w:rsid w:val="00FD674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0C1D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699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40</cp:revision>
  <cp:lastPrinted>2022-03-09T10:27:00Z</cp:lastPrinted>
  <dcterms:created xsi:type="dcterms:W3CDTF">2022-02-16T07:38:00Z</dcterms:created>
  <dcterms:modified xsi:type="dcterms:W3CDTF">2022-05-30T14:58:00Z</dcterms:modified>
</cp:coreProperties>
</file>