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57DF7" w14:textId="77777777" w:rsidR="00B15ED5" w:rsidRDefault="00B15ED5" w:rsidP="00B62447">
      <w:pPr>
        <w:spacing w:after="0" w:line="276" w:lineRule="auto"/>
        <w:rPr>
          <w:rFonts w:cs="Arial"/>
          <w:b/>
          <w:sz w:val="28"/>
          <w:szCs w:val="28"/>
        </w:rPr>
      </w:pPr>
    </w:p>
    <w:p w14:paraId="2CAE66DD" w14:textId="77777777" w:rsidR="00E63721" w:rsidRDefault="00E63721" w:rsidP="00E148B5">
      <w:pPr>
        <w:pStyle w:val="RLnzevsmlouvy"/>
        <w:spacing w:after="0"/>
        <w:rPr>
          <w:rFonts w:ascii="Arial" w:hAnsi="Arial"/>
          <w:sz w:val="22"/>
          <w:szCs w:val="22"/>
        </w:rPr>
      </w:pPr>
    </w:p>
    <w:p w14:paraId="39AD091F" w14:textId="1059C07C" w:rsidR="00DD071A" w:rsidRPr="00DD071A" w:rsidRDefault="00E63721" w:rsidP="00B502DF">
      <w:pPr>
        <w:pStyle w:val="RLnzevsmlouvy"/>
        <w:spacing w:after="0"/>
      </w:pPr>
      <w:r w:rsidRPr="00134388">
        <w:rPr>
          <w:rFonts w:ascii="Arial" w:hAnsi="Arial"/>
          <w:sz w:val="22"/>
          <w:szCs w:val="22"/>
        </w:rPr>
        <w:t>SMLOUVA O NÁKUPU ICT PROSTŘEDKŮ</w:t>
      </w:r>
      <w:r w:rsidR="00C63D8D">
        <w:rPr>
          <w:rFonts w:ascii="Arial" w:hAnsi="Arial"/>
          <w:sz w:val="22"/>
          <w:szCs w:val="22"/>
        </w:rPr>
        <w:t xml:space="preserve"> NA ZÁKLADĚ VEŘEJNÉ ZAKÁZKY</w:t>
      </w:r>
      <w:r w:rsidR="00C63D8D" w:rsidRPr="00C63D8D">
        <w:t xml:space="preserve"> </w:t>
      </w:r>
      <w:r w:rsidR="0084695E">
        <w:rPr>
          <w:rFonts w:ascii="Arial" w:hAnsi="Arial"/>
          <w:sz w:val="22"/>
          <w:szCs w:val="22"/>
        </w:rPr>
        <w:t xml:space="preserve">DNS </w:t>
      </w:r>
      <w:r w:rsidR="007D7C1F">
        <w:rPr>
          <w:rFonts w:ascii="Arial" w:hAnsi="Arial"/>
          <w:sz w:val="22"/>
          <w:szCs w:val="22"/>
        </w:rPr>
        <w:t>201</w:t>
      </w:r>
      <w:r w:rsidR="0084695E">
        <w:rPr>
          <w:rFonts w:ascii="Arial" w:hAnsi="Arial"/>
          <w:sz w:val="22"/>
          <w:szCs w:val="22"/>
        </w:rPr>
        <w:t xml:space="preserve"> -  </w:t>
      </w:r>
      <w:r w:rsidR="00B502DF" w:rsidRPr="00B502DF">
        <w:rPr>
          <w:rFonts w:ascii="Arial" w:hAnsi="Arial"/>
          <w:sz w:val="22"/>
          <w:szCs w:val="22"/>
        </w:rPr>
        <w:t>51. kolo – Notebooky, PC a monitory pro RO</w:t>
      </w:r>
    </w:p>
    <w:p w14:paraId="3E43C620" w14:textId="77777777" w:rsidR="00DD071A" w:rsidRPr="00F86725" w:rsidRDefault="00DD071A" w:rsidP="009A2B39">
      <w:pPr>
        <w:keepNext/>
        <w:keepLines/>
        <w:spacing w:after="0" w:line="240" w:lineRule="auto"/>
        <w:jc w:val="center"/>
        <w:rPr>
          <w:rFonts w:ascii="Arial" w:hAnsi="Arial" w:cs="Arial"/>
          <w:color w:val="000000"/>
          <w:szCs w:val="22"/>
        </w:rPr>
      </w:pPr>
    </w:p>
    <w:p w14:paraId="491487A0" w14:textId="0A40E2FA" w:rsidR="00E63721" w:rsidRPr="00F86725" w:rsidRDefault="00E63721" w:rsidP="00EA1082">
      <w:pPr>
        <w:keepNext/>
        <w:keepLines/>
        <w:spacing w:after="0" w:line="240" w:lineRule="auto"/>
        <w:jc w:val="center"/>
        <w:rPr>
          <w:rFonts w:ascii="Arial" w:hAnsi="Arial" w:cs="Arial"/>
          <w:color w:val="000000"/>
          <w:szCs w:val="22"/>
        </w:rPr>
      </w:pPr>
      <w:r w:rsidRPr="00F86725">
        <w:rPr>
          <w:rFonts w:ascii="Arial" w:hAnsi="Arial" w:cs="Arial"/>
          <w:color w:val="000000"/>
          <w:szCs w:val="22"/>
        </w:rPr>
        <w:t>(</w:t>
      </w:r>
      <w:r w:rsidR="00B15ED5">
        <w:rPr>
          <w:rFonts w:ascii="Arial" w:hAnsi="Arial" w:cs="Arial"/>
          <w:color w:val="000000"/>
          <w:szCs w:val="22"/>
        </w:rPr>
        <w:t xml:space="preserve">Číslo smlouvy </w:t>
      </w:r>
      <w:r w:rsidR="007F0164">
        <w:rPr>
          <w:rFonts w:ascii="Arial" w:hAnsi="Arial" w:cs="Arial"/>
          <w:color w:val="000000"/>
          <w:szCs w:val="22"/>
        </w:rPr>
        <w:t>SPU 305893/2021</w:t>
      </w:r>
      <w:r w:rsidRPr="00F86725">
        <w:rPr>
          <w:rFonts w:ascii="Arial" w:hAnsi="Arial" w:cs="Arial"/>
          <w:color w:val="000000"/>
          <w:szCs w:val="22"/>
        </w:rPr>
        <w:t>)</w:t>
      </w:r>
    </w:p>
    <w:p w14:paraId="33A3E256" w14:textId="77777777" w:rsidR="00E63721" w:rsidRPr="00F86725" w:rsidRDefault="00E63721" w:rsidP="00E148B5">
      <w:pPr>
        <w:jc w:val="center"/>
        <w:rPr>
          <w:rFonts w:ascii="Arial" w:hAnsi="Arial" w:cs="Arial"/>
          <w:szCs w:val="22"/>
        </w:rPr>
      </w:pPr>
    </w:p>
    <w:p w14:paraId="312ED595" w14:textId="77777777" w:rsidR="00E63721" w:rsidRPr="00F86725" w:rsidRDefault="00E63721" w:rsidP="00E148B5">
      <w:pPr>
        <w:jc w:val="center"/>
        <w:rPr>
          <w:rFonts w:ascii="Arial" w:hAnsi="Arial" w:cs="Arial"/>
          <w:szCs w:val="22"/>
        </w:rPr>
      </w:pPr>
    </w:p>
    <w:p w14:paraId="6CC494E3" w14:textId="77777777" w:rsidR="00E63721" w:rsidRDefault="00E63721" w:rsidP="00E148B5">
      <w:pPr>
        <w:pStyle w:val="RLdajeosmluvnstran"/>
        <w:rPr>
          <w:rFonts w:ascii="Arial" w:hAnsi="Arial" w:cs="Arial"/>
          <w:b/>
          <w:szCs w:val="22"/>
        </w:rPr>
      </w:pPr>
      <w:r w:rsidRPr="00B15ED5">
        <w:rPr>
          <w:rFonts w:ascii="Arial" w:hAnsi="Arial" w:cs="Arial"/>
          <w:b/>
          <w:szCs w:val="22"/>
        </w:rPr>
        <w:t>Smluvní strany:</w:t>
      </w:r>
    </w:p>
    <w:p w14:paraId="4C90A78C" w14:textId="77777777" w:rsidR="00B15ED5" w:rsidRPr="00B15ED5" w:rsidRDefault="00B15ED5" w:rsidP="00E148B5">
      <w:pPr>
        <w:pStyle w:val="RLdajeosmluvnstran"/>
        <w:rPr>
          <w:rFonts w:ascii="Arial" w:hAnsi="Arial" w:cs="Arial"/>
          <w:b/>
          <w:szCs w:val="22"/>
        </w:rPr>
      </w:pPr>
    </w:p>
    <w:p w14:paraId="173BAF36" w14:textId="6DD3CA55" w:rsidR="00B15ED5" w:rsidRPr="0082432F" w:rsidRDefault="007D7C1F" w:rsidP="00B15ED5">
      <w:pPr>
        <w:pStyle w:val="RLProhlensmluvnchstran"/>
        <w:rPr>
          <w:rFonts w:ascii="Arial" w:hAnsi="Arial" w:cs="Arial"/>
          <w:szCs w:val="22"/>
          <w:highlight w:val="yellow"/>
        </w:rPr>
      </w:pPr>
      <w:r w:rsidRPr="007D7C1F">
        <w:rPr>
          <w:rFonts w:ascii="Arial" w:hAnsi="Arial" w:cs="Arial"/>
          <w:b w:val="0"/>
          <w:color w:val="000000"/>
          <w:szCs w:val="22"/>
          <w:lang w:eastAsia="en-US"/>
        </w:rPr>
        <w:t>Česká republika – Státní pozemkový úřad</w:t>
      </w:r>
    </w:p>
    <w:p w14:paraId="67BD6669" w14:textId="379BB6A1" w:rsidR="00B15ED5" w:rsidRPr="00F86725" w:rsidRDefault="00B15ED5" w:rsidP="00B15ED5">
      <w:pPr>
        <w:pStyle w:val="RLdajeosmluvnstran"/>
        <w:rPr>
          <w:rFonts w:ascii="Arial" w:hAnsi="Arial" w:cs="Arial"/>
          <w:szCs w:val="22"/>
        </w:rPr>
      </w:pPr>
      <w:r w:rsidRPr="00F86725">
        <w:rPr>
          <w:rFonts w:ascii="Arial" w:hAnsi="Arial" w:cs="Arial"/>
          <w:szCs w:val="22"/>
        </w:rPr>
        <w:t xml:space="preserve">se sídlem: </w:t>
      </w:r>
      <w:r w:rsidR="007D7C1F">
        <w:rPr>
          <w:rStyle w:val="doplnuchazeChar"/>
          <w:rFonts w:ascii="Arial" w:hAnsi="Arial" w:cs="Arial"/>
          <w:b w:val="0"/>
          <w:szCs w:val="22"/>
        </w:rPr>
        <w:t>Husinecká 1024/11a, 130 00 Praha 3 Žižkov</w:t>
      </w:r>
    </w:p>
    <w:p w14:paraId="0A6C4B29" w14:textId="77777777" w:rsidR="007D7C1F" w:rsidRDefault="007D7C1F" w:rsidP="00B15ED5">
      <w:pPr>
        <w:pStyle w:val="RLdajeosmluvnstran"/>
        <w:rPr>
          <w:rFonts w:ascii="Arial" w:hAnsi="Arial" w:cs="Arial"/>
          <w:szCs w:val="22"/>
        </w:rPr>
      </w:pPr>
      <w:r w:rsidRPr="007D7C1F">
        <w:rPr>
          <w:rFonts w:ascii="Arial" w:hAnsi="Arial" w:cs="Arial"/>
          <w:szCs w:val="22"/>
        </w:rPr>
        <w:t>IČO: 01312774, DIČ: CZ01312774,</w:t>
      </w:r>
    </w:p>
    <w:p w14:paraId="62EC7651" w14:textId="6DFFD1BA" w:rsidR="00B15ED5" w:rsidRPr="00F86725" w:rsidRDefault="00B15ED5" w:rsidP="00B15ED5">
      <w:pPr>
        <w:pStyle w:val="RLdajeosmluvnstran"/>
        <w:rPr>
          <w:rFonts w:ascii="Arial" w:hAnsi="Arial" w:cs="Arial"/>
          <w:szCs w:val="22"/>
        </w:rPr>
      </w:pPr>
      <w:r w:rsidRPr="00F86725">
        <w:rPr>
          <w:rFonts w:ascii="Arial" w:hAnsi="Arial" w:cs="Arial"/>
          <w:szCs w:val="22"/>
        </w:rPr>
        <w:t xml:space="preserve">bank. </w:t>
      </w:r>
      <w:r w:rsidR="007D7C1F">
        <w:rPr>
          <w:rFonts w:ascii="Arial" w:hAnsi="Arial" w:cs="Arial"/>
          <w:szCs w:val="22"/>
        </w:rPr>
        <w:t>s</w:t>
      </w:r>
      <w:r w:rsidRPr="00F86725">
        <w:rPr>
          <w:rFonts w:ascii="Arial" w:hAnsi="Arial" w:cs="Arial"/>
          <w:szCs w:val="22"/>
        </w:rPr>
        <w:t>pojení</w:t>
      </w:r>
      <w:r w:rsidR="007D7C1F">
        <w:rPr>
          <w:rFonts w:ascii="Arial" w:hAnsi="Arial" w:cs="Arial"/>
          <w:szCs w:val="22"/>
        </w:rPr>
        <w:t xml:space="preserve"> Česká národní banka</w:t>
      </w:r>
      <w:r w:rsidRPr="00F86725">
        <w:rPr>
          <w:rFonts w:ascii="Arial" w:hAnsi="Arial" w:cs="Arial"/>
          <w:szCs w:val="22"/>
        </w:rPr>
        <w:t xml:space="preserve"> č. účtu: </w:t>
      </w:r>
      <w:r w:rsidR="007D7C1F" w:rsidRPr="007D7C1F">
        <w:rPr>
          <w:rStyle w:val="doplnuchazeChar"/>
          <w:rFonts w:ascii="Arial" w:hAnsi="Arial" w:cs="Arial"/>
          <w:b w:val="0"/>
          <w:szCs w:val="22"/>
        </w:rPr>
        <w:t>3723001/0710</w:t>
      </w:r>
    </w:p>
    <w:p w14:paraId="2483FF15" w14:textId="476C7D95" w:rsidR="00B15ED5" w:rsidRDefault="00B15ED5" w:rsidP="00B15ED5">
      <w:pPr>
        <w:pStyle w:val="RLdajeosmluvnstran"/>
        <w:rPr>
          <w:rStyle w:val="doplnuchazeChar"/>
          <w:rFonts w:ascii="Arial" w:hAnsi="Arial" w:cs="Arial"/>
          <w:b w:val="0"/>
          <w:szCs w:val="22"/>
        </w:rPr>
      </w:pPr>
      <w:r w:rsidRPr="00F86725">
        <w:rPr>
          <w:rFonts w:ascii="Arial" w:hAnsi="Arial" w:cs="Arial"/>
          <w:szCs w:val="22"/>
        </w:rPr>
        <w:t xml:space="preserve">zastoupená: </w:t>
      </w:r>
      <w:r w:rsidR="007D7C1F" w:rsidRPr="007D7C1F">
        <w:rPr>
          <w:rStyle w:val="doplnuchazeChar"/>
          <w:rFonts w:ascii="Arial" w:hAnsi="Arial" w:cs="Arial"/>
          <w:b w:val="0"/>
          <w:szCs w:val="22"/>
        </w:rPr>
        <w:t>Mgr. Pavel Škeřík, ředitel Sekce provozních činností</w:t>
      </w:r>
    </w:p>
    <w:p w14:paraId="281AA6A1" w14:textId="3C606438" w:rsidR="007D7C1F" w:rsidRPr="00F86725" w:rsidRDefault="007D7C1F" w:rsidP="00B15ED5">
      <w:pPr>
        <w:pStyle w:val="RLdajeosmluvnstran"/>
        <w:rPr>
          <w:rStyle w:val="doplnuchazeChar"/>
          <w:rFonts w:ascii="Arial" w:hAnsi="Arial" w:cs="Arial"/>
          <w:b w:val="0"/>
          <w:szCs w:val="22"/>
        </w:rPr>
      </w:pPr>
      <w:r w:rsidRPr="007D7C1F">
        <w:rPr>
          <w:rStyle w:val="doplnuchazeChar"/>
          <w:rFonts w:ascii="Arial" w:hAnsi="Arial" w:cs="Arial"/>
          <w:b w:val="0"/>
          <w:szCs w:val="22"/>
        </w:rPr>
        <w:t>ID datové schránky: z49per3</w:t>
      </w:r>
    </w:p>
    <w:p w14:paraId="76DD938E" w14:textId="77777777"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14:paraId="2D72A101" w14:textId="77777777" w:rsidR="00E63721" w:rsidRPr="00F86725" w:rsidRDefault="00E63721" w:rsidP="00EC245F">
      <w:pPr>
        <w:pStyle w:val="RLdajeosmluvnstran"/>
        <w:rPr>
          <w:rFonts w:ascii="Arial" w:hAnsi="Arial" w:cs="Arial"/>
          <w:szCs w:val="22"/>
        </w:rPr>
      </w:pPr>
    </w:p>
    <w:p w14:paraId="219764ED" w14:textId="77777777" w:rsidR="00E63721" w:rsidRPr="00F86725" w:rsidRDefault="00E63721" w:rsidP="00EC245F">
      <w:pPr>
        <w:pStyle w:val="RLdajeosmluvnstran"/>
        <w:rPr>
          <w:rFonts w:ascii="Arial" w:hAnsi="Arial" w:cs="Arial"/>
          <w:szCs w:val="22"/>
        </w:rPr>
      </w:pPr>
      <w:r w:rsidRPr="00F86725">
        <w:rPr>
          <w:rFonts w:ascii="Arial" w:hAnsi="Arial" w:cs="Arial"/>
          <w:szCs w:val="22"/>
        </w:rPr>
        <w:t>a</w:t>
      </w:r>
    </w:p>
    <w:p w14:paraId="4807AF77" w14:textId="77777777" w:rsidR="00E63721" w:rsidRPr="00F86725" w:rsidRDefault="00E63721" w:rsidP="00EC245F">
      <w:pPr>
        <w:pStyle w:val="RLdajeosmluvnstran"/>
        <w:rPr>
          <w:rFonts w:ascii="Arial" w:hAnsi="Arial" w:cs="Arial"/>
          <w:szCs w:val="22"/>
        </w:rPr>
      </w:pPr>
    </w:p>
    <w:p w14:paraId="4B2700FD" w14:textId="77777777" w:rsidR="00C247A0" w:rsidRPr="0082432F" w:rsidRDefault="00C247A0" w:rsidP="00C247A0">
      <w:pPr>
        <w:pStyle w:val="RLProhlensmluvnchstran"/>
        <w:rPr>
          <w:rFonts w:ascii="Arial" w:hAnsi="Arial" w:cs="Arial"/>
          <w:szCs w:val="22"/>
          <w:highlight w:val="yellow"/>
        </w:rPr>
      </w:pPr>
      <w:r w:rsidRPr="00DF3CB2">
        <w:rPr>
          <w:rFonts w:ascii="Arial" w:hAnsi="Arial" w:cs="Arial"/>
          <w:szCs w:val="22"/>
        </w:rPr>
        <w:t>Azenet s.r.o.</w:t>
      </w:r>
    </w:p>
    <w:p w14:paraId="325DC89F" w14:textId="77777777" w:rsidR="00C247A0" w:rsidRPr="00F86725" w:rsidRDefault="00C247A0" w:rsidP="00C247A0">
      <w:pPr>
        <w:pStyle w:val="RLdajeosmluvnstran"/>
        <w:rPr>
          <w:rFonts w:ascii="Arial" w:hAnsi="Arial" w:cs="Arial"/>
          <w:szCs w:val="22"/>
        </w:rPr>
      </w:pPr>
      <w:r w:rsidRPr="00F86725">
        <w:rPr>
          <w:rFonts w:ascii="Arial" w:hAnsi="Arial" w:cs="Arial"/>
          <w:szCs w:val="22"/>
        </w:rPr>
        <w:t xml:space="preserve">se sídlem: </w:t>
      </w:r>
      <w:r w:rsidRPr="00DF3CB2">
        <w:rPr>
          <w:rFonts w:ascii="Arial" w:hAnsi="Arial" w:cs="Arial"/>
          <w:szCs w:val="22"/>
        </w:rPr>
        <w:t>Plánská 403/5, 301 00 Plzeň</w:t>
      </w:r>
    </w:p>
    <w:p w14:paraId="52E64604" w14:textId="77777777" w:rsidR="00C247A0" w:rsidRPr="00F86725" w:rsidRDefault="00C247A0" w:rsidP="00C247A0">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w:t>
      </w:r>
      <w:r w:rsidRPr="00DF3CB2">
        <w:t xml:space="preserve"> </w:t>
      </w:r>
      <w:r w:rsidRPr="00DF3CB2">
        <w:rPr>
          <w:rFonts w:ascii="Arial" w:hAnsi="Arial" w:cs="Arial"/>
          <w:szCs w:val="22"/>
        </w:rPr>
        <w:t>02562014</w:t>
      </w:r>
      <w:r w:rsidRPr="00F86725">
        <w:rPr>
          <w:rFonts w:ascii="Arial" w:hAnsi="Arial" w:cs="Arial"/>
          <w:szCs w:val="22"/>
        </w:rPr>
        <w:t>, DIČ:</w:t>
      </w:r>
      <w:r>
        <w:rPr>
          <w:rFonts w:ascii="Arial" w:hAnsi="Arial" w:cs="Arial"/>
          <w:szCs w:val="22"/>
        </w:rPr>
        <w:t xml:space="preserve"> CZ</w:t>
      </w:r>
      <w:r w:rsidRPr="00DF3CB2">
        <w:rPr>
          <w:rFonts w:ascii="Arial" w:hAnsi="Arial" w:cs="Arial"/>
          <w:szCs w:val="22"/>
        </w:rPr>
        <w:t>02562014</w:t>
      </w:r>
    </w:p>
    <w:p w14:paraId="6718E184" w14:textId="77777777" w:rsidR="00C247A0" w:rsidRPr="00F86725" w:rsidRDefault="00C247A0" w:rsidP="00C247A0">
      <w:pPr>
        <w:pStyle w:val="RLdajeosmluvnstran"/>
        <w:rPr>
          <w:rFonts w:ascii="Arial" w:hAnsi="Arial" w:cs="Arial"/>
          <w:szCs w:val="22"/>
        </w:rPr>
      </w:pPr>
      <w:r w:rsidRPr="00F86725">
        <w:rPr>
          <w:rFonts w:ascii="Arial" w:hAnsi="Arial" w:cs="Arial"/>
          <w:szCs w:val="22"/>
        </w:rPr>
        <w:t xml:space="preserve">společnost zapsaná v obchodním rejstříku vedeném </w:t>
      </w:r>
      <w:r>
        <w:rPr>
          <w:rStyle w:val="doplnuchazeChar"/>
          <w:rFonts w:ascii="Arial" w:hAnsi="Arial" w:cs="Arial"/>
          <w:b w:val="0"/>
          <w:szCs w:val="22"/>
        </w:rPr>
        <w:t>Krajským</w:t>
      </w:r>
      <w:r w:rsidRPr="00F86725">
        <w:rPr>
          <w:rFonts w:ascii="Arial" w:hAnsi="Arial" w:cs="Arial"/>
          <w:szCs w:val="22"/>
        </w:rPr>
        <w:t xml:space="preserve"> soudem v</w:t>
      </w:r>
      <w:r>
        <w:rPr>
          <w:rFonts w:ascii="Arial" w:hAnsi="Arial" w:cs="Arial"/>
          <w:szCs w:val="22"/>
        </w:rPr>
        <w:t xml:space="preserve"> Plzni</w:t>
      </w:r>
      <w:r w:rsidRPr="00F86725">
        <w:rPr>
          <w:rFonts w:ascii="Arial" w:hAnsi="Arial" w:cs="Arial"/>
          <w:b/>
          <w:szCs w:val="22"/>
        </w:rPr>
        <w:t>,</w:t>
      </w:r>
    </w:p>
    <w:p w14:paraId="40906B88" w14:textId="77777777" w:rsidR="00C247A0" w:rsidRPr="00F86725" w:rsidRDefault="00C247A0" w:rsidP="00C247A0">
      <w:pPr>
        <w:pStyle w:val="RLdajeosmluvnstran"/>
        <w:rPr>
          <w:rFonts w:ascii="Arial" w:hAnsi="Arial" w:cs="Arial"/>
          <w:szCs w:val="22"/>
        </w:rPr>
      </w:pPr>
      <w:r w:rsidRPr="00F86725">
        <w:rPr>
          <w:rFonts w:ascii="Arial" w:hAnsi="Arial" w:cs="Arial"/>
          <w:szCs w:val="22"/>
        </w:rPr>
        <w:t>spisová značka</w:t>
      </w:r>
      <w:r>
        <w:rPr>
          <w:rFonts w:ascii="Arial" w:hAnsi="Arial" w:cs="Arial"/>
          <w:szCs w:val="22"/>
        </w:rPr>
        <w:t xml:space="preserve"> </w:t>
      </w:r>
      <w:r w:rsidRPr="00DF3CB2">
        <w:rPr>
          <w:rFonts w:ascii="Arial" w:hAnsi="Arial" w:cs="Arial"/>
          <w:szCs w:val="22"/>
        </w:rPr>
        <w:t>oddíl C, vložka 31315</w:t>
      </w:r>
    </w:p>
    <w:p w14:paraId="7F7A0D6E" w14:textId="77777777" w:rsidR="00C247A0" w:rsidRPr="00F86725" w:rsidRDefault="00C247A0" w:rsidP="00C247A0">
      <w:pPr>
        <w:pStyle w:val="RLdajeosmluvnstran"/>
        <w:rPr>
          <w:rFonts w:ascii="Arial" w:hAnsi="Arial" w:cs="Arial"/>
          <w:szCs w:val="22"/>
        </w:rPr>
      </w:pPr>
      <w:r w:rsidRPr="00F86725">
        <w:rPr>
          <w:rFonts w:ascii="Arial" w:hAnsi="Arial" w:cs="Arial"/>
          <w:szCs w:val="22"/>
        </w:rPr>
        <w:t>bank. spojení:</w:t>
      </w:r>
      <w:r>
        <w:rPr>
          <w:rFonts w:ascii="Arial" w:hAnsi="Arial" w:cs="Arial"/>
          <w:szCs w:val="22"/>
        </w:rPr>
        <w:t xml:space="preserve"> </w:t>
      </w:r>
      <w:r w:rsidRPr="00DF3CB2">
        <w:rPr>
          <w:rFonts w:ascii="Arial" w:hAnsi="Arial" w:cs="Arial"/>
          <w:szCs w:val="22"/>
        </w:rPr>
        <w:t>Raiffeisenbank</w:t>
      </w:r>
      <w:r w:rsidRPr="00F86725">
        <w:rPr>
          <w:rFonts w:ascii="Arial" w:hAnsi="Arial" w:cs="Arial"/>
          <w:szCs w:val="22"/>
        </w:rPr>
        <w:t>, č. účtu:</w:t>
      </w:r>
      <w:r>
        <w:rPr>
          <w:rFonts w:ascii="Arial" w:hAnsi="Arial" w:cs="Arial"/>
          <w:szCs w:val="22"/>
        </w:rPr>
        <w:t xml:space="preserve"> </w:t>
      </w:r>
      <w:r w:rsidRPr="00DF3CB2">
        <w:rPr>
          <w:rFonts w:ascii="Arial" w:hAnsi="Arial" w:cs="Arial"/>
          <w:szCs w:val="22"/>
        </w:rPr>
        <w:t>7997089001/5500</w:t>
      </w:r>
    </w:p>
    <w:p w14:paraId="08622AAD" w14:textId="77777777" w:rsidR="00C247A0" w:rsidRPr="00F86725" w:rsidRDefault="00C247A0" w:rsidP="00C247A0">
      <w:pPr>
        <w:pStyle w:val="RLdajeosmluvnstran"/>
        <w:rPr>
          <w:rStyle w:val="doplnuchazeChar"/>
          <w:rFonts w:ascii="Arial" w:hAnsi="Arial" w:cs="Arial"/>
          <w:b w:val="0"/>
          <w:szCs w:val="22"/>
        </w:rPr>
      </w:pPr>
      <w:r w:rsidRPr="00F86725">
        <w:rPr>
          <w:rFonts w:ascii="Arial" w:hAnsi="Arial" w:cs="Arial"/>
          <w:szCs w:val="22"/>
        </w:rPr>
        <w:t>zastoupená:</w:t>
      </w:r>
      <w:r>
        <w:rPr>
          <w:rFonts w:ascii="Arial" w:hAnsi="Arial" w:cs="Arial"/>
          <w:szCs w:val="22"/>
        </w:rPr>
        <w:t xml:space="preserve"> </w:t>
      </w:r>
      <w:r w:rsidRPr="00DF3CB2">
        <w:rPr>
          <w:rFonts w:ascii="Arial" w:hAnsi="Arial" w:cs="Arial"/>
          <w:szCs w:val="22"/>
        </w:rPr>
        <w:t>Mgr. Pavlem Skořepou, jednatelem společnosti</w:t>
      </w:r>
    </w:p>
    <w:p w14:paraId="017A8D0A" w14:textId="77777777" w:rsidR="00E63721" w:rsidRPr="00F86725" w:rsidRDefault="00E63721" w:rsidP="00EA1082">
      <w:pPr>
        <w:pStyle w:val="RLdajeosmluvnstran"/>
        <w:rPr>
          <w:rFonts w:ascii="Arial" w:hAnsi="Arial" w:cs="Arial"/>
          <w:szCs w:val="22"/>
        </w:rPr>
      </w:pPr>
    </w:p>
    <w:p w14:paraId="55815B2C" w14:textId="77777777"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14:paraId="5E939D12" w14:textId="77777777" w:rsidR="00E63721" w:rsidRPr="00F86725" w:rsidRDefault="00E63721" w:rsidP="00EC245F">
      <w:pPr>
        <w:pStyle w:val="RLdajeosmluvnstran"/>
        <w:rPr>
          <w:rFonts w:ascii="Arial" w:hAnsi="Arial" w:cs="Arial"/>
          <w:szCs w:val="22"/>
        </w:rPr>
      </w:pPr>
    </w:p>
    <w:p w14:paraId="5FFDAB08" w14:textId="77777777" w:rsidR="00511929" w:rsidRDefault="00511929" w:rsidP="00261FB4">
      <w:pPr>
        <w:pStyle w:val="RLdajeosmluvnstran"/>
        <w:jc w:val="left"/>
        <w:rPr>
          <w:rFonts w:ascii="Arial" w:hAnsi="Arial" w:cs="Arial"/>
          <w:szCs w:val="22"/>
        </w:rPr>
      </w:pPr>
    </w:p>
    <w:p w14:paraId="2197368A" w14:textId="77777777" w:rsidR="00511929" w:rsidRDefault="00511929" w:rsidP="00E148B5">
      <w:pPr>
        <w:pStyle w:val="RLdajeosmluvnstran"/>
        <w:rPr>
          <w:rFonts w:ascii="Arial" w:hAnsi="Arial" w:cs="Arial"/>
          <w:szCs w:val="22"/>
        </w:rPr>
      </w:pPr>
    </w:p>
    <w:p w14:paraId="4113FD70" w14:textId="77777777"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w:t>
      </w:r>
      <w:r w:rsidR="002F0ED5">
        <w:rPr>
          <w:rFonts w:ascii="Arial" w:hAnsi="Arial" w:cs="Arial"/>
          <w:szCs w:val="22"/>
        </w:rPr>
        <w:t xml:space="preserve">ladě výsledku </w:t>
      </w:r>
      <w:r w:rsidRPr="00F86725">
        <w:rPr>
          <w:rFonts w:ascii="Arial" w:hAnsi="Arial" w:cs="Arial"/>
          <w:szCs w:val="22"/>
        </w:rPr>
        <w:t>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w:t>
      </w:r>
      <w:r w:rsidR="00B502DF" w:rsidRPr="00B502DF">
        <w:rPr>
          <w:rFonts w:ascii="Arial" w:hAnsi="Arial" w:cs="Arial"/>
          <w:szCs w:val="22"/>
        </w:rPr>
        <w:t>51. kolo – Notebooky, PC a monitory pro RO</w:t>
      </w:r>
      <w:r w:rsidR="00654FB1">
        <w:rPr>
          <w:rFonts w:ascii="Arial" w:hAnsi="Arial" w:cs="Arial"/>
          <w:szCs w:val="22"/>
        </w:rPr>
        <w:t>“</w:t>
      </w:r>
      <w:r w:rsidR="00441070">
        <w:rPr>
          <w:rFonts w:ascii="Arial" w:hAnsi="Arial" w:cs="Arial"/>
          <w:szCs w:val="22"/>
        </w:rPr>
        <w:t xml:space="preserv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14:paraId="36EE7918" w14:textId="77777777" w:rsidR="00EA563D" w:rsidRPr="00EA563D" w:rsidRDefault="00EA563D" w:rsidP="00EA563D"/>
    <w:p w14:paraId="75A86B87" w14:textId="77777777"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14:paraId="593203C4" w14:textId="77777777"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14:paraId="6EC75B6E" w14:textId="77777777"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14:paraId="710B7402" w14:textId="77777777"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14:paraId="5F6E640A" w14:textId="3287F11B"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je právnickou osobou řádně založenou a existující podle</w:t>
      </w:r>
      <w:r w:rsidR="00C247A0">
        <w:rPr>
          <w:rFonts w:ascii="Arial" w:hAnsi="Arial" w:cs="Arial"/>
          <w:szCs w:val="22"/>
        </w:rPr>
        <w:t xml:space="preserve"> 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14:paraId="2900C274"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14:paraId="1D30A86C" w14:textId="77777777"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14:paraId="6EB9E743" w14:textId="77777777"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w:t>
      </w:r>
      <w:r w:rsidR="00213BD8">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14:paraId="6CE9DFBC" w14:textId="77777777"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14:paraId="63392CCD" w14:textId="77777777"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14:paraId="237897E8" w14:textId="77777777"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14:paraId="6468542E" w14:textId="77777777"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14:paraId="11724BB2" w14:textId="77777777"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w:t>
      </w:r>
      <w:r w:rsidRPr="00F86725">
        <w:rPr>
          <w:rFonts w:ascii="Arial" w:hAnsi="Arial" w:cs="Arial"/>
          <w:szCs w:val="22"/>
        </w:rPr>
        <w:lastRenderedPageBreak/>
        <w:t xml:space="preserve">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14:paraId="68CE9D1D" w14:textId="77777777"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14:paraId="596E5D3E" w14:textId="77777777"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14:paraId="79FBE917" w14:textId="77777777"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14:paraId="502A01D4" w14:textId="3BE29A58" w:rsidR="00CC0C85" w:rsidRPr="007D7C1F" w:rsidRDefault="00CC0C85" w:rsidP="00CC0C85">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w:t>
      </w:r>
      <w:r>
        <w:rPr>
          <w:rFonts w:ascii="Arial" w:hAnsi="Arial" w:cs="Arial"/>
          <w:szCs w:val="22"/>
        </w:rPr>
        <w:t xml:space="preserve"> jednotkovou</w:t>
      </w:r>
      <w:r w:rsidRPr="00F86725">
        <w:rPr>
          <w:rFonts w:ascii="Arial" w:hAnsi="Arial" w:cs="Arial"/>
          <w:szCs w:val="22"/>
        </w:rPr>
        <w:t xml:space="preserve">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nejvýše </w:t>
      </w:r>
      <w:r w:rsidR="007D7C1F" w:rsidRPr="007D7C1F">
        <w:rPr>
          <w:rFonts w:ascii="Arial" w:hAnsi="Arial" w:cs="Arial"/>
          <w:szCs w:val="22"/>
        </w:rPr>
        <w:t>740 600</w:t>
      </w:r>
      <w:r w:rsidRPr="007D7C1F">
        <w:rPr>
          <w:rFonts w:ascii="Arial" w:hAnsi="Arial" w:cs="Arial"/>
          <w:szCs w:val="22"/>
        </w:rPr>
        <w:t xml:space="preserve"> Kč (korun českých) bez DPH, tedy </w:t>
      </w:r>
      <w:r w:rsidR="007D7C1F" w:rsidRPr="007D7C1F">
        <w:rPr>
          <w:rFonts w:ascii="Arial" w:hAnsi="Arial" w:cs="Arial"/>
          <w:szCs w:val="22"/>
        </w:rPr>
        <w:t>896 126</w:t>
      </w:r>
      <w:r w:rsidRPr="007D7C1F">
        <w:rPr>
          <w:rFonts w:ascii="Arial" w:hAnsi="Arial" w:cs="Arial"/>
          <w:szCs w:val="22"/>
        </w:rPr>
        <w:t xml:space="preserve"> Kč (korun českých) s DPH ve výši </w:t>
      </w:r>
      <w:r w:rsidR="007D7C1F" w:rsidRPr="007D7C1F">
        <w:rPr>
          <w:rFonts w:ascii="Arial" w:hAnsi="Arial" w:cs="Arial"/>
          <w:szCs w:val="22"/>
        </w:rPr>
        <w:t>21</w:t>
      </w:r>
      <w:r w:rsidRPr="007D7C1F">
        <w:rPr>
          <w:rFonts w:ascii="Arial" w:hAnsi="Arial" w:cs="Arial"/>
          <w:szCs w:val="22"/>
        </w:rPr>
        <w:t xml:space="preserve"> %, tj. </w:t>
      </w:r>
      <w:r w:rsidR="007D7C1F" w:rsidRPr="007D7C1F">
        <w:rPr>
          <w:rFonts w:ascii="Arial" w:hAnsi="Arial" w:cs="Arial"/>
          <w:szCs w:val="22"/>
        </w:rPr>
        <w:t>155 526</w:t>
      </w:r>
      <w:r w:rsidRPr="007D7C1F">
        <w:rPr>
          <w:rFonts w:ascii="Arial" w:hAnsi="Arial" w:cs="Arial"/>
          <w:szCs w:val="22"/>
        </w:rPr>
        <w:t xml:space="preserve"> Kč (korun českých) , (dále jen „</w:t>
      </w:r>
      <w:r w:rsidRPr="007D7C1F">
        <w:rPr>
          <w:rFonts w:ascii="Arial" w:hAnsi="Arial" w:cs="Arial"/>
          <w:b/>
          <w:szCs w:val="22"/>
        </w:rPr>
        <w:t>Celková cena</w:t>
      </w:r>
      <w:r w:rsidRPr="007D7C1F">
        <w:rPr>
          <w:rFonts w:ascii="Arial" w:hAnsi="Arial" w:cs="Arial"/>
          <w:szCs w:val="22"/>
        </w:rPr>
        <w:t xml:space="preserve">“). </w:t>
      </w:r>
    </w:p>
    <w:p w14:paraId="76950033" w14:textId="77777777"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w:t>
      </w:r>
      <w:r w:rsidR="00CC0C85">
        <w:rPr>
          <w:rFonts w:ascii="Arial" w:hAnsi="Arial" w:cs="Arial"/>
          <w:szCs w:val="22"/>
        </w:rPr>
        <w:t>sní dopravu a související práce</w:t>
      </w:r>
      <w:r w:rsidR="00CC0C85" w:rsidRPr="00A74290">
        <w:rPr>
          <w:rFonts w:ascii="Arial" w:hAnsi="Arial" w:cs="Arial"/>
          <w:szCs w:val="22"/>
        </w:rPr>
        <w:t>,</w:t>
      </w:r>
      <w:r w:rsidR="00CC0C85">
        <w:rPr>
          <w:rFonts w:ascii="Arial" w:hAnsi="Arial" w:cs="Arial"/>
          <w:szCs w:val="22"/>
        </w:rPr>
        <w:t xml:space="preserve"> náklady na ostatní plnění specifikované v příloze č. 1 této Smlouvy,</w:t>
      </w:r>
      <w:r w:rsidR="00CC0C85" w:rsidRPr="00A74290">
        <w:rPr>
          <w:rFonts w:ascii="Arial" w:hAnsi="Arial" w:cs="Arial"/>
          <w:szCs w:val="22"/>
        </w:rPr>
        <w:t xml:space="preserve"> </w:t>
      </w:r>
      <w:r w:rsidRPr="00A74290">
        <w:rPr>
          <w:rFonts w:ascii="Arial" w:hAnsi="Arial" w:cs="Arial"/>
          <w:szCs w:val="22"/>
        </w:rPr>
        <w:t>jakož i náklady na dopravu a dodání Zboží na místo určení, případné poplatky, cla, balení a vedlejší náklady.</w:t>
      </w:r>
    </w:p>
    <w:p w14:paraId="4D358ABB" w14:textId="77777777"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14:paraId="1A17F87C"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14:paraId="24A46AA4"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w:t>
      </w:r>
      <w:r w:rsidR="009343FF">
        <w:rPr>
          <w:rFonts w:ascii="Arial" w:hAnsi="Arial" w:cs="Arial"/>
          <w:szCs w:val="22"/>
        </w:rPr>
        <w:t>ch</w:t>
      </w:r>
      <w:r w:rsidRPr="00961A38">
        <w:rPr>
          <w:rFonts w:ascii="Arial" w:hAnsi="Arial" w:cs="Arial"/>
          <w:szCs w:val="22"/>
        </w:rPr>
        <w:t xml:space="preserve">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r w:rsidR="009343FF">
        <w:rPr>
          <w:rFonts w:ascii="Arial" w:hAnsi="Arial" w:cs="Arial"/>
          <w:szCs w:val="22"/>
        </w:rPr>
        <w:t>Elektronická faktura musí obsahovat jméno kontaktní (oprávněné) osoby Kupujícího uvedené v čl. 13. této Smlouvy, nesdělí-li Kupující Prodávajícímu jinou kontaktní osobu.</w:t>
      </w:r>
    </w:p>
    <w:p w14:paraId="529BD4E4"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14:paraId="3F431B53"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má právo Fakturu Prodávajícímu před uplynutím lhůty splatnosti vrátit, aniž by došlo k prodlení s jejím zaplacením, (i) obsahuje-li nesprávné údaje, (ii)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9343FF">
        <w:rPr>
          <w:rFonts w:ascii="Arial" w:hAnsi="Arial" w:cs="Arial"/>
          <w:szCs w:val="22"/>
        </w:rPr>
        <w:t xml:space="preserve"> přerušuje</w:t>
      </w:r>
      <w:r w:rsidR="0063751A" w:rsidRPr="008F04B9">
        <w:rPr>
          <w:rFonts w:ascii="Arial" w:hAnsi="Arial" w:cs="Arial"/>
          <w:szCs w:val="22"/>
        </w:rPr>
        <w:t xml:space="preserve">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14:paraId="0C7C1998"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lastRenderedPageBreak/>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14:paraId="0FEE98EA"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14:paraId="4F6D016E" w14:textId="77777777"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14:paraId="23DCAA2F" w14:textId="77777777" w:rsidR="00E63721" w:rsidRPr="00F86725" w:rsidRDefault="009343FF" w:rsidP="0052170E">
      <w:pPr>
        <w:pStyle w:val="RLTextlnkuslovan"/>
        <w:rPr>
          <w:rFonts w:ascii="Arial" w:hAnsi="Arial" w:cs="Arial"/>
          <w:szCs w:val="22"/>
          <w:lang w:eastAsia="en-US"/>
        </w:rPr>
      </w:pPr>
      <w:r>
        <w:rPr>
          <w:rFonts w:ascii="Arial" w:hAnsi="Arial" w:cs="Arial"/>
          <w:szCs w:val="22"/>
        </w:rPr>
        <w:t xml:space="preserve">Žádnou </w:t>
      </w:r>
      <w:r w:rsidR="00E63721" w:rsidRPr="00F86725">
        <w:rPr>
          <w:rFonts w:ascii="Arial" w:hAnsi="Arial" w:cs="Arial"/>
          <w:szCs w:val="22"/>
        </w:rPr>
        <w:t xml:space="preserve">pohledávku vzniklou Prodávajícímu na základě této Smlouvy není Prodávající oprávněn postoupit. </w:t>
      </w:r>
    </w:p>
    <w:p w14:paraId="6379A304" w14:textId="77777777"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14:paraId="4C6FB767" w14:textId="77777777"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204428">
        <w:rPr>
          <w:rFonts w:ascii="Arial" w:hAnsi="Arial" w:cs="Arial"/>
          <w:szCs w:val="22"/>
        </w:rPr>
        <w:t>50 (padesáti</w:t>
      </w:r>
      <w:r w:rsidR="00B042E4">
        <w:rPr>
          <w:rFonts w:ascii="Arial" w:hAnsi="Arial" w:cs="Arial"/>
          <w:szCs w:val="22"/>
        </w:rPr>
        <w:t xml:space="preserve">) </w:t>
      </w:r>
      <w:r w:rsidRPr="00B36F0C">
        <w:rPr>
          <w:rFonts w:ascii="Arial" w:hAnsi="Arial" w:cs="Arial"/>
          <w:szCs w:val="22"/>
        </w:rPr>
        <w:t>pracovních dnů 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w:t>
      </w:r>
      <w:r w:rsidR="00DD071A">
        <w:rPr>
          <w:rFonts w:ascii="Arial" w:hAnsi="Arial" w:cs="Arial"/>
          <w:szCs w:val="22"/>
        </w:rPr>
        <w:t xml:space="preserve"> </w:t>
      </w:r>
      <w:r w:rsidRPr="00F86725">
        <w:rPr>
          <w:rFonts w:ascii="Arial" w:hAnsi="Arial" w:cs="Arial"/>
          <w:szCs w:val="22"/>
        </w:rPr>
        <w:t>této Smlouvy.</w:t>
      </w:r>
      <w:bookmarkEnd w:id="2"/>
    </w:p>
    <w:p w14:paraId="74DBDA48" w14:textId="77777777"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14:paraId="315203A1" w14:textId="77777777"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14:paraId="3261FA8D" w14:textId="77777777"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14:paraId="73D5BC80" w14:textId="77777777"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14:paraId="69AD6D10" w14:textId="77777777"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14:paraId="3D3DF4AD" w14:textId="77777777"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14:paraId="0CE05FFA" w14:textId="77777777"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14:paraId="16CEA61B" w14:textId="77777777" w:rsidR="00E63721" w:rsidRPr="0063755C" w:rsidRDefault="00E63721" w:rsidP="00D0418A">
      <w:pPr>
        <w:pStyle w:val="RLTextlnkuslovan"/>
        <w:rPr>
          <w:rFonts w:ascii="Arial" w:hAnsi="Arial" w:cs="Arial"/>
          <w:szCs w:val="22"/>
          <w:lang w:eastAsia="en-US"/>
        </w:rPr>
      </w:pPr>
      <w:r w:rsidRPr="0063755C">
        <w:rPr>
          <w:rFonts w:ascii="Arial" w:hAnsi="Arial" w:cs="Arial"/>
          <w:szCs w:val="22"/>
        </w:rPr>
        <w:lastRenderedPageBreak/>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14:paraId="10C71AB3" w14:textId="77777777"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14:paraId="4158040B" w14:textId="77777777" w:rsidR="009343FF" w:rsidRPr="00C2512F" w:rsidRDefault="009343FF" w:rsidP="009343FF">
      <w:pPr>
        <w:pStyle w:val="RLTextlnkuslovan"/>
        <w:rPr>
          <w:rFonts w:ascii="Arial" w:hAnsi="Arial" w:cs="Arial"/>
          <w:szCs w:val="22"/>
        </w:rPr>
      </w:pPr>
      <w:r w:rsidRPr="00C2512F">
        <w:rPr>
          <w:rFonts w:ascii="Arial" w:hAnsi="Arial" w:cs="Arial"/>
          <w:szCs w:val="22"/>
        </w:rPr>
        <w:t>Prodávající je dále povinen zaručit dost</w:t>
      </w:r>
      <w:r>
        <w:rPr>
          <w:rFonts w:ascii="Arial" w:hAnsi="Arial" w:cs="Arial"/>
          <w:szCs w:val="22"/>
        </w:rPr>
        <w:t xml:space="preserve">upnost kompatibilních </w:t>
      </w:r>
      <w:r w:rsidRPr="00C2512F">
        <w:rPr>
          <w:rFonts w:ascii="Arial" w:hAnsi="Arial" w:cs="Arial"/>
          <w:szCs w:val="22"/>
        </w:rPr>
        <w:t>napájecích z</w:t>
      </w:r>
      <w:r>
        <w:rPr>
          <w:rFonts w:ascii="Arial" w:hAnsi="Arial" w:cs="Arial"/>
          <w:szCs w:val="22"/>
        </w:rPr>
        <w:t>drojů</w:t>
      </w:r>
      <w:r w:rsidRPr="00EA563D">
        <w:rPr>
          <w:rFonts w:ascii="Arial" w:hAnsi="Arial" w:cs="Arial"/>
          <w:szCs w:val="22"/>
        </w:rPr>
        <w:t xml:space="preserve"> a jej</w:t>
      </w:r>
      <w:r>
        <w:rPr>
          <w:rFonts w:ascii="Arial" w:hAnsi="Arial" w:cs="Arial"/>
          <w:szCs w:val="22"/>
        </w:rPr>
        <w:t>i</w:t>
      </w:r>
      <w:r w:rsidRPr="00EA563D">
        <w:rPr>
          <w:rFonts w:ascii="Arial" w:hAnsi="Arial" w:cs="Arial"/>
          <w:szCs w:val="22"/>
        </w:rPr>
        <w:t xml:space="preserve">ch součástí </w:t>
      </w:r>
      <w:r w:rsidRPr="00C2512F">
        <w:rPr>
          <w:rFonts w:ascii="Arial" w:hAnsi="Arial" w:cs="Arial"/>
          <w:szCs w:val="22"/>
        </w:rPr>
        <w:t xml:space="preserve">po </w:t>
      </w:r>
      <w:r>
        <w:rPr>
          <w:rFonts w:ascii="Arial" w:hAnsi="Arial" w:cs="Arial"/>
          <w:szCs w:val="22"/>
        </w:rPr>
        <w:t>celou dobu trvání záruky dle článku 9. odst. 9.4..</w:t>
      </w:r>
      <w:r w:rsidRPr="00C2512F" w:rsidDel="0046139C">
        <w:rPr>
          <w:rFonts w:ascii="Arial" w:hAnsi="Arial" w:cs="Arial"/>
          <w:szCs w:val="22"/>
        </w:rPr>
        <w:t xml:space="preserve"> </w:t>
      </w:r>
      <w:r>
        <w:rPr>
          <w:rFonts w:ascii="Arial" w:hAnsi="Arial" w:cs="Arial"/>
          <w:szCs w:val="22"/>
        </w:rPr>
        <w:t>této Smlouvy.</w:t>
      </w:r>
    </w:p>
    <w:p w14:paraId="689FEA9E" w14:textId="77777777"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14:paraId="59F89A52"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14:paraId="31451D59"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14:paraId="4383A5D7"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14:paraId="2C7E0006"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w:t>
      </w:r>
      <w:r w:rsidR="009343FF">
        <w:rPr>
          <w:rFonts w:ascii="Arial" w:hAnsi="Arial" w:cs="Arial"/>
          <w:szCs w:val="22"/>
        </w:rPr>
        <w:t xml:space="preserve"> bez dalšího</w:t>
      </w:r>
      <w:r w:rsidRPr="00F86725">
        <w:rPr>
          <w:rFonts w:ascii="Arial" w:hAnsi="Arial" w:cs="Arial"/>
          <w:szCs w:val="22"/>
        </w:rPr>
        <w:t xml:space="preserve">, tj. která je udělena s právem postoupení Licence </w:t>
      </w:r>
      <w:r w:rsidR="009343FF">
        <w:rPr>
          <w:rFonts w:ascii="Arial" w:hAnsi="Arial" w:cs="Arial"/>
          <w:szCs w:val="22"/>
        </w:rPr>
        <w:t>bez dalšího</w:t>
      </w:r>
      <w:r w:rsidR="009343FF" w:rsidRPr="00F86725">
        <w:rPr>
          <w:rFonts w:ascii="Arial" w:hAnsi="Arial" w:cs="Arial"/>
          <w:szCs w:val="22"/>
        </w:rPr>
        <w:t xml:space="preserve"> </w:t>
      </w:r>
      <w:r w:rsidRPr="00F86725">
        <w:rPr>
          <w:rFonts w:ascii="Arial" w:hAnsi="Arial" w:cs="Arial"/>
          <w:szCs w:val="22"/>
        </w:rPr>
        <w:t>třetí osobě</w:t>
      </w:r>
    </w:p>
    <w:p w14:paraId="78D3B4A0"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14:paraId="6CC56525" w14:textId="77777777"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14:paraId="6BC62291" w14:textId="77777777"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14:paraId="2B2904B2" w14:textId="77777777"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Zbožím licenční podmínky pro užívání software, je-li tento součástí dodávaného Zboží.</w:t>
      </w:r>
    </w:p>
    <w:p w14:paraId="5FA5E96B" w14:textId="77777777"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14:paraId="7AF89605" w14:textId="77777777"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14:paraId="2DA02A17" w14:textId="77777777"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lastRenderedPageBreak/>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14:paraId="747B79F6"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14:paraId="4002C8C1" w14:textId="77777777"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14:paraId="45DC6DA7"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14:paraId="34677BD5" w14:textId="77777777" w:rsidR="008268EF" w:rsidRPr="008268EF" w:rsidRDefault="00E63721" w:rsidP="008268EF">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r w:rsidR="008268EF">
        <w:rPr>
          <w:rFonts w:ascii="Arial" w:hAnsi="Arial" w:cs="Arial"/>
          <w:szCs w:val="22"/>
        </w:rPr>
        <w:t xml:space="preserve"> Prodávající je </w:t>
      </w:r>
      <w:r w:rsidR="008268EF" w:rsidRPr="008268EF">
        <w:rPr>
          <w:rFonts w:ascii="Arial" w:hAnsi="Arial" w:cs="Arial"/>
          <w:szCs w:val="22"/>
        </w:rPr>
        <w:t>povinen zajistit po celou dobu plnění veřejné zakázky dodržování veškerých právních předpisů České republiky s důrazem na legální zaměstnávání, spravedlivé odměňování a dodržování bezpečnosti a ochrany zdraví při práci, přičemž uvedené bude takový dodavatel povinen zajistit i u svých poddodavatelů, kteří vykonávají činnost na území České republiky. Ve smlouvá</w:t>
      </w:r>
      <w:r w:rsidR="008268EF">
        <w:rPr>
          <w:rFonts w:ascii="Arial" w:hAnsi="Arial" w:cs="Arial"/>
          <w:szCs w:val="22"/>
        </w:rPr>
        <w:t>ch s takovými poddodavateli je</w:t>
      </w:r>
      <w:r w:rsidR="008268EF" w:rsidRPr="008268EF">
        <w:rPr>
          <w:rFonts w:ascii="Arial" w:hAnsi="Arial" w:cs="Arial"/>
          <w:szCs w:val="22"/>
        </w:rPr>
        <w:t xml:space="preserve"> </w:t>
      </w:r>
      <w:r w:rsidR="008268EF">
        <w:rPr>
          <w:rFonts w:ascii="Arial" w:hAnsi="Arial" w:cs="Arial"/>
          <w:szCs w:val="22"/>
        </w:rPr>
        <w:t>Prodávající</w:t>
      </w:r>
      <w:r w:rsidR="008268EF" w:rsidRPr="008268EF">
        <w:rPr>
          <w:rFonts w:ascii="Arial" w:hAnsi="Arial" w:cs="Arial"/>
          <w:szCs w:val="22"/>
        </w:rPr>
        <w:t xml:space="preserve"> povinen zajistit stanovení nediskriminačních smluvních podmínek se svými poddodavateli, včetně poskytování řádných plat</w:t>
      </w:r>
      <w:r w:rsidR="008268EF">
        <w:rPr>
          <w:rFonts w:ascii="Arial" w:hAnsi="Arial" w:cs="Arial"/>
          <w:szCs w:val="22"/>
        </w:rPr>
        <w:t>eb za provedené práce těmto</w:t>
      </w:r>
      <w:r w:rsidR="008268EF" w:rsidRPr="008268EF">
        <w:rPr>
          <w:rFonts w:ascii="Arial" w:hAnsi="Arial" w:cs="Arial"/>
          <w:szCs w:val="22"/>
        </w:rPr>
        <w:t xml:space="preserve"> poddodavatelům.</w:t>
      </w:r>
    </w:p>
    <w:p w14:paraId="01065DE5" w14:textId="77777777" w:rsidR="008268EF" w:rsidRPr="00F86725" w:rsidRDefault="008268EF" w:rsidP="008268EF">
      <w:pPr>
        <w:pStyle w:val="RLTextlnkuslovan"/>
        <w:rPr>
          <w:rFonts w:ascii="Arial" w:hAnsi="Arial" w:cs="Arial"/>
          <w:szCs w:val="22"/>
        </w:rPr>
      </w:pPr>
      <w:r>
        <w:rPr>
          <w:rFonts w:ascii="Arial" w:hAnsi="Arial" w:cs="Arial"/>
          <w:szCs w:val="22"/>
        </w:rPr>
        <w:t>Prodávající je</w:t>
      </w:r>
      <w:r w:rsidRPr="008268EF">
        <w:rPr>
          <w:rFonts w:ascii="Arial" w:hAnsi="Arial" w:cs="Arial"/>
          <w:szCs w:val="22"/>
        </w:rPr>
        <w:t xml:space="preserve"> povinen při plnění veřejné zakázky postupovat tak, aby minimalizoval vznik odpadů. </w:t>
      </w:r>
      <w:r>
        <w:rPr>
          <w:rFonts w:ascii="Arial" w:hAnsi="Arial" w:cs="Arial"/>
          <w:szCs w:val="22"/>
        </w:rPr>
        <w:t>Prodávající je</w:t>
      </w:r>
      <w:r w:rsidRPr="008268EF">
        <w:rPr>
          <w:rFonts w:ascii="Arial" w:hAnsi="Arial" w:cs="Arial"/>
          <w:szCs w:val="22"/>
        </w:rPr>
        <w:t xml:space="preserve"> dále povinen při výkonu administrativních činností souvisejících s plněním veřejné zakázky používat, je-li to objektivně možné, recyklované nebo recyklovatelné materiály, výrobky a obaly.</w:t>
      </w:r>
    </w:p>
    <w:p w14:paraId="6C4CC08D" w14:textId="77777777"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14:paraId="5783E16D"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14:paraId="796BEFE1" w14:textId="77777777"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14:paraId="3CDE9069"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14:paraId="4156E7C8" w14:textId="77777777"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14:paraId="3E06C31E" w14:textId="77777777"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14:paraId="2478191C" w14:textId="77777777"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14:paraId="2E681E64" w14:textId="77777777" w:rsidR="00E63721" w:rsidRPr="00A666E4" w:rsidRDefault="00E63721" w:rsidP="00D37817">
      <w:pPr>
        <w:pStyle w:val="RLlneksmlouvy"/>
        <w:rPr>
          <w:rFonts w:ascii="Arial" w:hAnsi="Arial" w:cs="Arial"/>
          <w:szCs w:val="22"/>
        </w:rPr>
      </w:pPr>
      <w:r w:rsidRPr="00A666E4">
        <w:rPr>
          <w:rFonts w:ascii="Arial" w:hAnsi="Arial" w:cs="Arial"/>
          <w:szCs w:val="22"/>
        </w:rPr>
        <w:lastRenderedPageBreak/>
        <w:t>VADY ZBOŽÍ A ZÁRUČNÍ DOBA</w:t>
      </w:r>
    </w:p>
    <w:p w14:paraId="6B62A649" w14:textId="77777777"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14:paraId="4292350E"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14:paraId="7E0A41B5"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14:paraId="6A87C4F9" w14:textId="73CACAB4" w:rsidR="005439E5" w:rsidRDefault="00E63721" w:rsidP="00D719F9">
      <w:pPr>
        <w:pStyle w:val="RLTextlnkuslovan"/>
        <w:rPr>
          <w:rFonts w:ascii="Arial" w:hAnsi="Arial" w:cs="Arial"/>
          <w:szCs w:val="22"/>
          <w:lang w:eastAsia="en-US"/>
        </w:rPr>
      </w:pPr>
      <w:r w:rsidRPr="005439E5">
        <w:rPr>
          <w:rFonts w:ascii="Arial" w:hAnsi="Arial" w:cs="Arial"/>
          <w:szCs w:val="22"/>
        </w:rPr>
        <w:t xml:space="preserve">Prodávající poskytuje na Zboží včetně veškerého příslušenství záruku za </w:t>
      </w:r>
      <w:r w:rsidR="00213BD8" w:rsidRPr="005439E5">
        <w:rPr>
          <w:rFonts w:ascii="Arial" w:hAnsi="Arial" w:cs="Arial"/>
          <w:szCs w:val="22"/>
        </w:rPr>
        <w:t> </w:t>
      </w:r>
      <w:r w:rsidRPr="005439E5">
        <w:rPr>
          <w:rFonts w:ascii="Arial" w:hAnsi="Arial" w:cs="Arial"/>
          <w:szCs w:val="22"/>
        </w:rPr>
        <w:t>jakost v délce uvedené v </w:t>
      </w:r>
      <w:r w:rsidRPr="005439E5">
        <w:rPr>
          <w:rFonts w:ascii="Arial" w:hAnsi="Arial" w:cs="Arial"/>
          <w:b/>
          <w:szCs w:val="22"/>
        </w:rPr>
        <w:t>Příloze č. 1</w:t>
      </w:r>
      <w:r w:rsidRPr="005439E5">
        <w:rPr>
          <w:rFonts w:ascii="Arial" w:hAnsi="Arial" w:cs="Arial"/>
          <w:szCs w:val="22"/>
        </w:rPr>
        <w:t xml:space="preserve"> této </w:t>
      </w:r>
      <w:r w:rsidR="00941582" w:rsidRPr="005439E5">
        <w:rPr>
          <w:rFonts w:ascii="Arial" w:hAnsi="Arial" w:cs="Arial"/>
          <w:szCs w:val="22"/>
        </w:rPr>
        <w:t>S</w:t>
      </w:r>
      <w:r w:rsidRPr="005439E5">
        <w:rPr>
          <w:rFonts w:ascii="Arial" w:hAnsi="Arial" w:cs="Arial"/>
          <w:szCs w:val="22"/>
        </w:rPr>
        <w:t xml:space="preserve">mlouvy a v této záruční době se zavazuje </w:t>
      </w:r>
      <w:r w:rsidR="009343FF" w:rsidRPr="005439E5">
        <w:rPr>
          <w:rFonts w:ascii="Arial" w:hAnsi="Arial" w:cs="Arial"/>
          <w:szCs w:val="22"/>
        </w:rPr>
        <w:t xml:space="preserve">bezplatně </w:t>
      </w:r>
      <w:r w:rsidRPr="005439E5">
        <w:rPr>
          <w:rFonts w:ascii="Arial" w:hAnsi="Arial" w:cs="Arial"/>
          <w:szCs w:val="22"/>
        </w:rPr>
        <w:t>odstraňovat vady (dále také jen „</w:t>
      </w:r>
      <w:r w:rsidRPr="005439E5">
        <w:rPr>
          <w:rFonts w:ascii="Arial" w:hAnsi="Arial" w:cs="Arial"/>
          <w:b/>
          <w:szCs w:val="22"/>
        </w:rPr>
        <w:t>Záruční servis</w:t>
      </w:r>
      <w:r w:rsidRPr="005439E5">
        <w:rPr>
          <w:rFonts w:ascii="Arial" w:hAnsi="Arial" w:cs="Arial"/>
          <w:szCs w:val="22"/>
        </w:rPr>
        <w:t>“). Záruční doba počíná běžet ode dne převzetí Zboží oprávněnou osobou Kupujícího v místě plnění</w:t>
      </w:r>
      <w:bookmarkEnd w:id="9"/>
      <w:r w:rsidRPr="005439E5">
        <w:rPr>
          <w:rFonts w:ascii="Arial" w:hAnsi="Arial" w:cs="Arial"/>
          <w:szCs w:val="22"/>
        </w:rPr>
        <w:t>.</w:t>
      </w:r>
      <w:bookmarkEnd w:id="10"/>
      <w:r w:rsidRPr="005439E5">
        <w:rPr>
          <w:rFonts w:ascii="Arial" w:hAnsi="Arial" w:cs="Arial"/>
          <w:szCs w:val="22"/>
        </w:rPr>
        <w:t xml:space="preserve"> Maximální doba odezvy na požadavek Kupujícího v rámci Záručního servisu činí 1 (jeden) pracovní den (NBD – next business day). Odezvou na požadavek se rozumí zaevidování požadavku Kupujícího ze strany Prodávajícího a stanovení termínu jeho řešení na základě dohody s Kupujícím, nejdéle však tak, aby požadavek Kupujícího na odstranění vad byl vyřešen do 2 (dvou) pracovních dnů ode dne jeho oznámení Prodávajícímu. Záruční servis bude poskytován osobami, které jsou výrobcem (či jiným původcem) dodaného Zboží k poskytování tohoto servisu certifikovány, a to na adresách uvedených v </w:t>
      </w:r>
      <w:r w:rsidRPr="005439E5">
        <w:rPr>
          <w:rFonts w:ascii="Arial" w:hAnsi="Arial" w:cs="Arial"/>
          <w:b/>
          <w:szCs w:val="22"/>
        </w:rPr>
        <w:t>Příloze č. 3</w:t>
      </w:r>
      <w:r w:rsidRPr="005439E5">
        <w:rPr>
          <w:rFonts w:ascii="Arial" w:hAnsi="Arial" w:cs="Arial"/>
          <w:szCs w:val="22"/>
        </w:rPr>
        <w:t xml:space="preserve"> anebo na adresách v České republice oznámených Kupujícím Prodávajícímu v rámci požadavku na Záruční servis.</w:t>
      </w:r>
      <w:bookmarkEnd w:id="11"/>
      <w:r w:rsidR="00F422F7" w:rsidRPr="005439E5">
        <w:rPr>
          <w:rFonts w:ascii="Arial" w:hAnsi="Arial" w:cs="Arial"/>
          <w:szCs w:val="22"/>
        </w:rPr>
        <w:t xml:space="preserve"> </w:t>
      </w:r>
    </w:p>
    <w:p w14:paraId="759C66FC" w14:textId="77777777" w:rsidR="00E63721" w:rsidRPr="005439E5" w:rsidRDefault="00E63721" w:rsidP="00D719F9">
      <w:pPr>
        <w:pStyle w:val="RLTextlnkuslovan"/>
        <w:rPr>
          <w:rFonts w:ascii="Arial" w:hAnsi="Arial" w:cs="Arial"/>
          <w:szCs w:val="22"/>
          <w:lang w:eastAsia="en-US"/>
        </w:rPr>
      </w:pPr>
      <w:r w:rsidRPr="005439E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sidRPr="005439E5">
        <w:rPr>
          <w:rFonts w:ascii="Arial" w:hAnsi="Arial" w:cs="Arial"/>
          <w:szCs w:val="22"/>
        </w:rPr>
        <w:t xml:space="preserve">e) či jeho servisních partnerů. </w:t>
      </w:r>
      <w:r w:rsidRPr="005439E5">
        <w:rPr>
          <w:rFonts w:ascii="Arial" w:hAnsi="Arial" w:cs="Arial"/>
          <w:szCs w:val="22"/>
        </w:rPr>
        <w:t>Tímto ustanovením není dotčena povinnost Prodávajícího poskytovat Kupujícímu Záruční servis v plném rozsahu.</w:t>
      </w:r>
    </w:p>
    <w:p w14:paraId="0C27CC48" w14:textId="77777777"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14:paraId="6DD4AE03" w14:textId="77777777"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14:paraId="13248A5A" w14:textId="77777777"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14:paraId="7BDC497A" w14:textId="77777777"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14:paraId="4CFBC2A8" w14:textId="77777777"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14:paraId="71679240" w14:textId="45CF5F1E"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lastRenderedPageBreak/>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boží ve větším množství než stanoví tato Smlouva a</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14:paraId="2D629EAE" w14:textId="77777777"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14:paraId="3B6E55BF" w14:textId="77777777" w:rsidR="00941582" w:rsidRPr="00F86725" w:rsidRDefault="00941582" w:rsidP="001A0397">
      <w:pPr>
        <w:pStyle w:val="RLTextlnkuslovan"/>
        <w:numPr>
          <w:ilvl w:val="0"/>
          <w:numId w:val="0"/>
        </w:numPr>
        <w:ind w:left="1474"/>
        <w:rPr>
          <w:rFonts w:ascii="Arial" w:hAnsi="Arial" w:cs="Arial"/>
          <w:szCs w:val="22"/>
        </w:rPr>
      </w:pPr>
    </w:p>
    <w:p w14:paraId="12DC66BE" w14:textId="77777777" w:rsidR="00E63721" w:rsidRPr="00F86725" w:rsidRDefault="00E63721" w:rsidP="00D0300B">
      <w:pPr>
        <w:pStyle w:val="RLlneksmlouvy"/>
        <w:rPr>
          <w:rFonts w:ascii="Arial" w:hAnsi="Arial" w:cs="Arial"/>
          <w:szCs w:val="22"/>
        </w:rPr>
      </w:pPr>
      <w:bookmarkStart w:id="12" w:name="_Ref369121133"/>
      <w:r w:rsidRPr="00F86725">
        <w:rPr>
          <w:rFonts w:ascii="Arial" w:hAnsi="Arial" w:cs="Arial"/>
          <w:szCs w:val="22"/>
        </w:rPr>
        <w:t>OCHRANA INFORMACÍ</w:t>
      </w:r>
      <w:bookmarkEnd w:id="12"/>
    </w:p>
    <w:p w14:paraId="2C5E3F25" w14:textId="77777777"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14:paraId="36A94A28"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14:paraId="178EA099"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14:paraId="55B3CCAC" w14:textId="77777777" w:rsidR="001A0397" w:rsidRPr="001A0397" w:rsidRDefault="001A0397" w:rsidP="001A0397">
      <w:pPr>
        <w:pStyle w:val="RLTextlnkuslovan"/>
        <w:rPr>
          <w:rFonts w:ascii="Arial" w:hAnsi="Arial" w:cs="Arial"/>
          <w:szCs w:val="22"/>
        </w:rPr>
      </w:pPr>
      <w:bookmarkStart w:id="13"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14:paraId="6DBFBA13" w14:textId="77777777"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14:paraId="6F5251B4"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14:paraId="44154852"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14:paraId="7F845B36"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14:paraId="13AC1643"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14:paraId="4BDED4B1" w14:textId="77777777"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3E9267A9"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14:paraId="119FA4AD" w14:textId="77777777"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14:paraId="347D3200" w14:textId="77777777" w:rsidR="00E63721" w:rsidRPr="00F86725" w:rsidRDefault="00E63721" w:rsidP="00D7277B">
      <w:pPr>
        <w:pStyle w:val="RLTextlnkuslovan"/>
        <w:rPr>
          <w:rFonts w:ascii="Arial" w:hAnsi="Arial" w:cs="Arial"/>
          <w:szCs w:val="22"/>
        </w:rPr>
      </w:pPr>
      <w:r w:rsidRPr="00F86725">
        <w:rPr>
          <w:rFonts w:ascii="Arial" w:hAnsi="Arial" w:cs="Arial"/>
          <w:szCs w:val="22"/>
        </w:rPr>
        <w:lastRenderedPageBreak/>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3"/>
    <w:p w14:paraId="41F409D5"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14:paraId="4A2A166E" w14:textId="77777777"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14:paraId="4BAB62EF" w14:textId="77777777" w:rsidR="00E63721" w:rsidRDefault="00CB2968" w:rsidP="00A47AA4">
      <w:pPr>
        <w:pStyle w:val="RLTextlnkuslovan"/>
      </w:pPr>
      <w:r>
        <w:rPr>
          <w:rFonts w:ascii="Arial" w:hAnsi="Arial" w:cs="Arial"/>
          <w:szCs w:val="22"/>
        </w:rPr>
        <w:t>Prodávající svým podpisem níže souhlasí, aby obraz Smlouvy včetně jejich příloh, případných dodatků a metadat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w:t>
      </w:r>
      <w:r w:rsidR="009343FF">
        <w:rPr>
          <w:rFonts w:ascii="Arial" w:hAnsi="Arial" w:cs="Arial"/>
          <w:szCs w:val="22"/>
        </w:rPr>
        <w:t>řejnění na profilu zadavatele (K</w:t>
      </w:r>
      <w:r>
        <w:rPr>
          <w:rFonts w:ascii="Arial" w:hAnsi="Arial" w:cs="Arial"/>
          <w:szCs w:val="22"/>
        </w:rPr>
        <w:t>upujícího s odkazem na ustanovení § 219 odst. 1 písm. d) ZZVZ.</w:t>
      </w:r>
    </w:p>
    <w:p w14:paraId="08FF5706" w14:textId="77777777"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14:paraId="46BA3FBF" w14:textId="77777777"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w:t>
      </w:r>
      <w:r w:rsidR="009343FF">
        <w:rPr>
          <w:rFonts w:ascii="Arial" w:hAnsi="Arial" w:cs="Arial"/>
          <w:szCs w:val="22"/>
        </w:rPr>
        <w:t xml:space="preserve">porušení </w:t>
      </w:r>
      <w:r>
        <w:rPr>
          <w:rFonts w:ascii="Arial" w:hAnsi="Arial" w:cs="Arial"/>
          <w:szCs w:val="22"/>
        </w:rPr>
        <w:t xml:space="preserve">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 xml:space="preserve">volném pohybu těchto údajů a o zrušení směrnice 95/46/ES (obecné nařízení </w:t>
      </w:r>
      <w:r w:rsidR="009343FF">
        <w:rPr>
          <w:rFonts w:ascii="Arial" w:hAnsi="Arial" w:cs="Arial"/>
          <w:szCs w:val="22"/>
        </w:rPr>
        <w:t>o ochraně osobních údajů; GDPR) a zákonem č. 110/2019 Sb., o zpracování osobních údajů</w:t>
      </w:r>
    </w:p>
    <w:p w14:paraId="722C4F8F" w14:textId="77777777"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14:paraId="28F5249A" w14:textId="77777777"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14:paraId="5F89E0F7" w14:textId="77777777"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14:paraId="47884656" w14:textId="77777777" w:rsidR="00E63721" w:rsidRPr="00A666E4" w:rsidRDefault="00E63721" w:rsidP="008820AF">
      <w:pPr>
        <w:pStyle w:val="RLTextlnkuslovan"/>
        <w:rPr>
          <w:rFonts w:ascii="Arial" w:hAnsi="Arial" w:cs="Arial"/>
          <w:szCs w:val="22"/>
          <w:lang w:eastAsia="en-US"/>
        </w:rPr>
      </w:pPr>
      <w:r w:rsidRPr="00F86725">
        <w:rPr>
          <w:rFonts w:ascii="Arial" w:hAnsi="Arial" w:cs="Arial"/>
          <w:szCs w:val="22"/>
        </w:rPr>
        <w:lastRenderedPageBreak/>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14:paraId="51FF2C94" w14:textId="26AB72F4" w:rsidR="00E63721" w:rsidRPr="00FD777E" w:rsidRDefault="00333EA9" w:rsidP="00FD777E">
      <w:pPr>
        <w:pStyle w:val="RLTextlnkuslovan"/>
        <w:rPr>
          <w:rFonts w:ascii="Arial" w:hAnsi="Arial" w:cs="Arial"/>
          <w:szCs w:val="22"/>
        </w:rPr>
      </w:pPr>
      <w:r w:rsidRPr="00333EA9">
        <w:rPr>
          <w:rFonts w:ascii="Arial" w:hAnsi="Arial" w:cs="Arial"/>
          <w:szCs w:val="22"/>
        </w:rPr>
        <w:t>V případě, že Prodávající poruší kteroukoli povinnost dle článku 6. odst. 6.3 této Smlouvy, je Prodávající povinen zaplatit Kupujícímu smluvní pokutu ve výši 100 000,-Kč, (slovy: jedno sto tisíc korun českých) včetně DPH, a to za každé jednotlivé porušení smluvní povinnosti</w:t>
      </w:r>
      <w:r w:rsidR="00FD777E" w:rsidRPr="007D7C1F">
        <w:rPr>
          <w:rFonts w:ascii="Arial" w:hAnsi="Arial" w:cs="Arial"/>
        </w:rPr>
        <w:t>.</w:t>
      </w:r>
    </w:p>
    <w:p w14:paraId="455E13B7" w14:textId="77777777"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14:paraId="4527272D" w14:textId="290C2551"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7D7C1F" w:rsidRPr="007D7C1F">
        <w:rPr>
          <w:rFonts w:ascii="Arial" w:hAnsi="Arial" w:cs="Arial"/>
          <w:szCs w:val="22"/>
        </w:rPr>
        <w:t>13</w:t>
      </w:r>
      <w:r w:rsidR="00AD4918">
        <w:rPr>
          <w:rFonts w:ascii="Arial" w:hAnsi="Arial" w:cs="Arial"/>
          <w:szCs w:val="22"/>
        </w:rPr>
        <w:t>0</w:t>
      </w:r>
      <w:r w:rsidR="007D7C1F" w:rsidRPr="007D7C1F">
        <w:rPr>
          <w:rFonts w:ascii="Arial" w:hAnsi="Arial" w:cs="Arial"/>
          <w:szCs w:val="22"/>
        </w:rPr>
        <w:t xml:space="preserve"> 000 </w:t>
      </w:r>
      <w:r w:rsidRPr="007D7C1F">
        <w:rPr>
          <w:rFonts w:ascii="Arial" w:hAnsi="Arial" w:cs="Arial"/>
          <w:szCs w:val="22"/>
        </w:rPr>
        <w:t>Kč</w:t>
      </w:r>
      <w:r w:rsidR="007D7C1F" w:rsidRPr="007D7C1F">
        <w:rPr>
          <w:rFonts w:ascii="Arial" w:hAnsi="Arial" w:cs="Arial"/>
          <w:szCs w:val="22"/>
        </w:rPr>
        <w:t>,</w:t>
      </w:r>
      <w:r w:rsidRPr="007D7C1F">
        <w:rPr>
          <w:rFonts w:ascii="Arial" w:hAnsi="Arial" w:cs="Arial"/>
          <w:szCs w:val="22"/>
        </w:rPr>
        <w:t xml:space="preserve"> (slovy:</w:t>
      </w:r>
      <w:r w:rsidR="00706754">
        <w:rPr>
          <w:rFonts w:ascii="Arial" w:hAnsi="Arial" w:cs="Arial"/>
          <w:szCs w:val="22"/>
        </w:rPr>
        <w:t xml:space="preserve"> jedno</w:t>
      </w:r>
      <w:r w:rsidRPr="007D7C1F">
        <w:rPr>
          <w:rFonts w:ascii="Arial" w:hAnsi="Arial" w:cs="Arial"/>
          <w:szCs w:val="22"/>
        </w:rPr>
        <w:t xml:space="preserve"> </w:t>
      </w:r>
      <w:r w:rsidR="00680DF7">
        <w:rPr>
          <w:rFonts w:ascii="Arial" w:hAnsi="Arial" w:cs="Arial"/>
          <w:szCs w:val="22"/>
        </w:rPr>
        <w:t xml:space="preserve">sto </w:t>
      </w:r>
      <w:r w:rsidR="007D7C1F" w:rsidRPr="007D7C1F">
        <w:rPr>
          <w:rFonts w:ascii="Arial" w:hAnsi="Arial" w:cs="Arial"/>
          <w:szCs w:val="22"/>
        </w:rPr>
        <w:t>tř</w:t>
      </w:r>
      <w:r w:rsidR="00680DF7">
        <w:rPr>
          <w:rFonts w:ascii="Arial" w:hAnsi="Arial" w:cs="Arial"/>
          <w:szCs w:val="22"/>
        </w:rPr>
        <w:t>icet</w:t>
      </w:r>
      <w:r w:rsidR="007D7C1F" w:rsidRPr="007D7C1F">
        <w:rPr>
          <w:rFonts w:ascii="Arial" w:hAnsi="Arial" w:cs="Arial"/>
          <w:szCs w:val="22"/>
        </w:rPr>
        <w:t xml:space="preserve"> tisíc</w:t>
      </w:r>
      <w:r w:rsidRPr="007D7C1F">
        <w:rPr>
          <w:rFonts w:ascii="Arial" w:hAnsi="Arial" w:cs="Arial"/>
          <w:szCs w:val="22"/>
        </w:rPr>
        <w:t xml:space="preserve"> korun českých), a to za každé jednotlivé porušení povinnosti. Smluvní pokuty dle </w:t>
      </w:r>
      <w:r w:rsidR="00213BD8" w:rsidRPr="007D7C1F">
        <w:rPr>
          <w:rFonts w:ascii="Arial" w:hAnsi="Arial" w:cs="Arial"/>
          <w:szCs w:val="22"/>
        </w:rPr>
        <w:t> </w:t>
      </w:r>
      <w:r w:rsidRPr="007D7C1F">
        <w:rPr>
          <w:rFonts w:ascii="Arial" w:hAnsi="Arial" w:cs="Arial"/>
          <w:szCs w:val="22"/>
        </w:rPr>
        <w:t xml:space="preserve">tohoto odstavce lze udělit maximálně do výše Celkové ceny </w:t>
      </w:r>
      <w:r>
        <w:rPr>
          <w:rFonts w:ascii="Arial" w:hAnsi="Arial" w:cs="Arial"/>
          <w:szCs w:val="22"/>
        </w:rPr>
        <w:t>Zboží včetně DPH. Tím není dotčeno právo Kupujícího na náhradu škody a nemajetkové újmy v plném rozsahu.</w:t>
      </w:r>
    </w:p>
    <w:p w14:paraId="0A16BF12" w14:textId="77777777"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14:paraId="25ACC139" w14:textId="77777777" w:rsidR="00E63721" w:rsidRPr="00F86725" w:rsidRDefault="00E63721" w:rsidP="008820AF">
      <w:pPr>
        <w:pStyle w:val="RLTextlnkuslovan"/>
        <w:rPr>
          <w:rFonts w:ascii="Arial" w:hAnsi="Arial" w:cs="Arial"/>
          <w:szCs w:val="22"/>
        </w:rPr>
      </w:pPr>
      <w:bookmarkStart w:id="14"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4"/>
    </w:p>
    <w:p w14:paraId="6F7D7D93" w14:textId="77777777"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14:paraId="3C475063" w14:textId="77777777"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14:paraId="16E3B3AB"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14:paraId="38706876" w14:textId="77777777"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14:paraId="4B643954" w14:textId="77777777" w:rsidR="00E63721" w:rsidRPr="00F86725" w:rsidRDefault="00E63721" w:rsidP="008820AF">
      <w:pPr>
        <w:pStyle w:val="RLTextlnkuslovan"/>
        <w:rPr>
          <w:rFonts w:ascii="Arial" w:hAnsi="Arial" w:cs="Arial"/>
          <w:szCs w:val="22"/>
          <w:lang w:eastAsia="en-US"/>
        </w:rPr>
      </w:pPr>
      <w:bookmarkStart w:id="15" w:name="_Ref297782655"/>
      <w:r w:rsidRPr="00F86725">
        <w:rPr>
          <w:rFonts w:ascii="Arial" w:hAnsi="Arial" w:cs="Arial"/>
          <w:szCs w:val="22"/>
        </w:rPr>
        <w:t xml:space="preserve">Kupující je oprávněn od Smlouvy odstoupit v případě podstatného porušení této Smlouvy Prodávajícím. </w:t>
      </w:r>
    </w:p>
    <w:p w14:paraId="5EF829C6" w14:textId="77777777" w:rsidR="00E63721" w:rsidRPr="00F86725" w:rsidRDefault="00E63721" w:rsidP="008820AF">
      <w:pPr>
        <w:pStyle w:val="RLTextlnkuslovan"/>
        <w:rPr>
          <w:rFonts w:ascii="Arial" w:hAnsi="Arial" w:cs="Arial"/>
          <w:szCs w:val="22"/>
        </w:rPr>
      </w:pPr>
      <w:bookmarkStart w:id="16" w:name="_Ref384318580"/>
      <w:bookmarkEnd w:id="15"/>
      <w:r w:rsidRPr="00F86725">
        <w:rPr>
          <w:rFonts w:ascii="Arial" w:hAnsi="Arial" w:cs="Arial"/>
          <w:szCs w:val="22"/>
        </w:rPr>
        <w:t>Za podstatné porušení této Smlouvy ve smyslu odstavce 12.1 tohoto článku se považuje zejména</w:t>
      </w:r>
      <w:bookmarkEnd w:id="16"/>
      <w:r w:rsidRPr="00F86725">
        <w:rPr>
          <w:rFonts w:ascii="Arial" w:hAnsi="Arial" w:cs="Arial"/>
          <w:szCs w:val="22"/>
        </w:rPr>
        <w:t xml:space="preserve"> situace, kdy: </w:t>
      </w:r>
    </w:p>
    <w:p w14:paraId="71677E19"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14:paraId="2A5D77E0" w14:textId="77777777"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14:paraId="5ECC8A57" w14:textId="77777777"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 xml:space="preserve">Každá ze smluvních stran je oprávněna od smlouvy odstoupit, bylo-li zahájeno insolvenční řízení druhé smluvní strany podle zákona č. 182/2006 </w:t>
      </w:r>
      <w:r w:rsidRPr="00092135">
        <w:rPr>
          <w:rFonts w:ascii="Arial" w:hAnsi="Arial" w:cs="Arial"/>
          <w:szCs w:val="22"/>
        </w:rPr>
        <w:lastRenderedPageBreak/>
        <w:t>Sb., insolvenční zákon, ve znění pozdějších předpisů.</w:t>
      </w:r>
      <w:r w:rsidR="009343FF">
        <w:rPr>
          <w:rFonts w:ascii="Arial" w:hAnsi="Arial" w:cs="Arial"/>
          <w:szCs w:val="22"/>
        </w:rPr>
        <w:t xml:space="preserve"> Kupující je dále oprávněn od této Smlouvy odstoupit, pokud bude rozhodnuto o úpadku Prodávajícího nebo pokud Prodávající sám podá dlužnický návrh na zahájení insolvenčního řízení.</w:t>
      </w:r>
    </w:p>
    <w:p w14:paraId="67E40DC2" w14:textId="77777777"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14:paraId="32F0C9BB"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14:paraId="5A77E73E" w14:textId="77777777"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.6</w:t>
      </w:r>
      <w:r w:rsidR="000A4A1B">
        <w:rPr>
          <w:rFonts w:ascii="Arial" w:hAnsi="Arial" w:cs="Arial"/>
          <w:szCs w:val="22"/>
          <w:lang w:eastAsia="en-US"/>
        </w:rPr>
        <w:t xml:space="preserve">     </w:t>
      </w:r>
      <w:r w:rsidRPr="00327CE5">
        <w:rPr>
          <w:rFonts w:ascii="Arial" w:hAnsi="Arial" w:cs="Arial"/>
          <w:szCs w:val="22"/>
          <w:lang w:eastAsia="en-US"/>
        </w:rPr>
        <w:t>Smlouva může být ukončena písemnou dohodou smluvních stran.</w:t>
      </w:r>
    </w:p>
    <w:p w14:paraId="44EF2D55" w14:textId="77777777" w:rsidR="00E63721" w:rsidRPr="00F86725" w:rsidRDefault="00E63721" w:rsidP="00092135">
      <w:pPr>
        <w:pStyle w:val="RLTextlnkuslovan"/>
        <w:numPr>
          <w:ilvl w:val="0"/>
          <w:numId w:val="0"/>
        </w:numPr>
        <w:ind w:left="1474" w:hanging="737"/>
        <w:rPr>
          <w:rFonts w:ascii="Arial" w:hAnsi="Arial" w:cs="Arial"/>
          <w:szCs w:val="22"/>
          <w:lang w:eastAsia="en-US"/>
        </w:rPr>
      </w:pPr>
    </w:p>
    <w:p w14:paraId="26AB00BB"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14:paraId="0947BA2A" w14:textId="77777777" w:rsidR="00E63721" w:rsidRPr="00F86725" w:rsidRDefault="00E63721" w:rsidP="00092135">
      <w:pPr>
        <w:pStyle w:val="RLTextlnkuslovan"/>
        <w:numPr>
          <w:ilvl w:val="0"/>
          <w:numId w:val="0"/>
        </w:numPr>
        <w:ind w:left="1474" w:hanging="737"/>
        <w:rPr>
          <w:rFonts w:ascii="Arial" w:hAnsi="Arial" w:cs="Arial"/>
          <w:szCs w:val="22"/>
          <w:lang w:eastAsia="en-US"/>
        </w:rPr>
      </w:pPr>
    </w:p>
    <w:p w14:paraId="1FBD8187" w14:textId="77777777"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14:paraId="441EC839" w14:textId="77777777"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14:paraId="6BF404AD"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14:paraId="15DC664D" w14:textId="359847EE" w:rsidR="007D7C1F" w:rsidRDefault="00E63721" w:rsidP="007D7C1F">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ve věcech smluvních a obchodních a pro převzetí Zboží </w:t>
      </w:r>
      <w:r w:rsidR="007D7C1F">
        <w:rPr>
          <w:rFonts w:ascii="Arial" w:hAnsi="Arial" w:cs="Arial"/>
          <w:szCs w:val="22"/>
        </w:rPr>
        <w:t xml:space="preserve">Mgr. Pavel Škeřík, ředitel Sekce provozních činností, e-mail: </w:t>
      </w:r>
      <w:hyperlink r:id="rId12" w:history="1">
        <w:r w:rsidR="007D7C1F" w:rsidRPr="007C0FC8">
          <w:rPr>
            <w:rStyle w:val="Hypertextovodkaz"/>
            <w:rFonts w:ascii="Arial" w:hAnsi="Arial" w:cs="Arial"/>
            <w:szCs w:val="22"/>
          </w:rPr>
          <w:t>p.skerik@spucr.cz</w:t>
        </w:r>
      </w:hyperlink>
    </w:p>
    <w:p w14:paraId="360474BF" w14:textId="4347AD98" w:rsidR="007D7C1F" w:rsidRPr="007D7C1F" w:rsidRDefault="007D7C1F" w:rsidP="007D7C1F">
      <w:pPr>
        <w:pStyle w:val="RLTextlnkuslovan"/>
        <w:numPr>
          <w:ilvl w:val="2"/>
          <w:numId w:val="1"/>
        </w:numPr>
        <w:rPr>
          <w:rFonts w:ascii="Arial" w:hAnsi="Arial" w:cs="Arial"/>
          <w:szCs w:val="22"/>
          <w:lang w:eastAsia="en-US"/>
        </w:rPr>
      </w:pPr>
      <w:r w:rsidRPr="007D7C1F">
        <w:rPr>
          <w:rFonts w:ascii="Arial" w:hAnsi="Arial" w:cs="Arial"/>
          <w:szCs w:val="22"/>
          <w:lang w:eastAsia="en-US"/>
        </w:rPr>
        <w:t>ve věcech obchodních Ing. Zdeněk Hauk, ředitel Odboru ICT,</w:t>
      </w:r>
      <w:r>
        <w:rPr>
          <w:rFonts w:ascii="Arial" w:hAnsi="Arial" w:cs="Arial"/>
          <w:szCs w:val="22"/>
          <w:lang w:eastAsia="en-US"/>
        </w:rPr>
        <w:t xml:space="preserve"> e</w:t>
      </w:r>
      <w:r>
        <w:rPr>
          <w:rFonts w:ascii="Arial" w:hAnsi="Arial" w:cs="Arial"/>
          <w:szCs w:val="22"/>
          <w:lang w:eastAsia="en-US"/>
        </w:rPr>
        <w:noBreakHyphen/>
        <w:t>mail: z.hauk@spucr.cz</w:t>
      </w:r>
    </w:p>
    <w:p w14:paraId="5F69F8E0" w14:textId="189A5B7B" w:rsidR="007D7C1F" w:rsidRPr="007D7C1F" w:rsidRDefault="00E63721" w:rsidP="007D7C1F">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 otázkách technických a v otázkách týkajících se podmínek záruky a převzetí Zboží </w:t>
      </w:r>
      <w:r w:rsidR="007D7C1F" w:rsidRPr="007D7C1F">
        <w:rPr>
          <w:rFonts w:ascii="Arial" w:hAnsi="Arial" w:cs="Arial"/>
          <w:szCs w:val="22"/>
        </w:rPr>
        <w:t>Petr Husák;</w:t>
      </w:r>
      <w:r w:rsidR="007D7C1F">
        <w:rPr>
          <w:rFonts w:ascii="Arial" w:hAnsi="Arial" w:cs="Arial"/>
          <w:szCs w:val="22"/>
        </w:rPr>
        <w:t xml:space="preserve"> v</w:t>
      </w:r>
      <w:r w:rsidR="007D7C1F" w:rsidRPr="007D7C1F">
        <w:rPr>
          <w:rFonts w:ascii="Arial" w:hAnsi="Arial" w:cs="Arial"/>
          <w:szCs w:val="22"/>
        </w:rPr>
        <w:t>edoucí Oddělení technické podpory, e</w:t>
      </w:r>
      <w:r w:rsidR="007D7C1F">
        <w:rPr>
          <w:rFonts w:ascii="Arial" w:hAnsi="Arial" w:cs="Arial"/>
          <w:szCs w:val="22"/>
        </w:rPr>
        <w:noBreakHyphen/>
      </w:r>
      <w:r w:rsidR="007D7C1F" w:rsidRPr="007D7C1F">
        <w:rPr>
          <w:rFonts w:ascii="Arial" w:hAnsi="Arial" w:cs="Arial"/>
          <w:szCs w:val="22"/>
        </w:rPr>
        <w:t xml:space="preserve">mail: </w:t>
      </w:r>
      <w:hyperlink r:id="rId13" w:history="1">
        <w:r w:rsidR="007D7C1F" w:rsidRPr="007C0FC8">
          <w:rPr>
            <w:rStyle w:val="Hypertextovodkaz"/>
            <w:rFonts w:ascii="Arial" w:hAnsi="Arial" w:cs="Arial"/>
            <w:szCs w:val="22"/>
          </w:rPr>
          <w:t>p.husak@spucr.cz</w:t>
        </w:r>
      </w:hyperlink>
      <w:r w:rsidR="007D7C1F">
        <w:rPr>
          <w:rFonts w:ascii="Arial" w:hAnsi="Arial" w:cs="Arial"/>
          <w:szCs w:val="22"/>
        </w:rPr>
        <w:t xml:space="preserve">, Tel: </w:t>
      </w:r>
      <w:r w:rsidR="00CF7793">
        <w:rPr>
          <w:rFonts w:ascii="Arial" w:hAnsi="Arial" w:cs="Arial"/>
          <w:szCs w:val="22"/>
        </w:rPr>
        <w:t xml:space="preserve">XXX XXX XXX </w:t>
      </w:r>
    </w:p>
    <w:p w14:paraId="6C0541A3"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14:paraId="20B40912" w14:textId="5F997143"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r w:rsidR="00C247A0" w:rsidRPr="00C247A0">
        <w:rPr>
          <w:rFonts w:ascii="Arial" w:hAnsi="Arial" w:cs="Arial"/>
          <w:szCs w:val="22"/>
          <w:lang w:eastAsia="en-US"/>
        </w:rPr>
        <w:t xml:space="preserve">Mgr. Pavel Skořepa, Email: </w:t>
      </w:r>
      <w:r w:rsidR="00CF7793">
        <w:rPr>
          <w:rFonts w:ascii="Arial" w:hAnsi="Arial" w:cs="Arial"/>
          <w:szCs w:val="22"/>
          <w:lang w:eastAsia="en-US"/>
        </w:rPr>
        <w:t>XXX</w:t>
      </w:r>
      <w:r w:rsidR="00C247A0" w:rsidRPr="00C247A0">
        <w:rPr>
          <w:rFonts w:ascii="Arial" w:hAnsi="Arial" w:cs="Arial"/>
          <w:szCs w:val="22"/>
          <w:lang w:eastAsia="en-US"/>
        </w:rPr>
        <w:t xml:space="preserve">, Tel: </w:t>
      </w:r>
      <w:r w:rsidR="00CF7793">
        <w:rPr>
          <w:rFonts w:ascii="Arial" w:hAnsi="Arial" w:cs="Arial"/>
          <w:szCs w:val="22"/>
          <w:lang w:eastAsia="en-US"/>
        </w:rPr>
        <w:t>XXX XXX XXX</w:t>
      </w:r>
    </w:p>
    <w:p w14:paraId="35CCBEF2" w14:textId="347F6E43" w:rsidR="00E63721" w:rsidRPr="00C247A0" w:rsidRDefault="00E63721" w:rsidP="000277BD">
      <w:pPr>
        <w:pStyle w:val="RLTextlnkuslovan"/>
        <w:numPr>
          <w:ilvl w:val="2"/>
          <w:numId w:val="1"/>
        </w:numPr>
        <w:rPr>
          <w:rStyle w:val="doplnuchazeChar"/>
          <w:rFonts w:ascii="Arial" w:hAnsi="Arial" w:cs="Arial"/>
          <w:b w:val="0"/>
          <w:bCs/>
          <w:szCs w:val="22"/>
          <w:lang w:eastAsia="en-US"/>
        </w:rPr>
      </w:pPr>
      <w:r w:rsidRPr="00F86725">
        <w:rPr>
          <w:rStyle w:val="doplnuchazeChar"/>
          <w:rFonts w:ascii="Arial" w:hAnsi="Arial" w:cs="Arial"/>
          <w:b w:val="0"/>
          <w:szCs w:val="22"/>
        </w:rPr>
        <w:t>v otázkách technických</w:t>
      </w:r>
      <w:r w:rsidR="00C247A0">
        <w:rPr>
          <w:rStyle w:val="doplnuchazeChar"/>
          <w:rFonts w:ascii="Arial" w:hAnsi="Arial" w:cs="Arial"/>
          <w:szCs w:val="22"/>
        </w:rPr>
        <w:t xml:space="preserve"> </w:t>
      </w:r>
      <w:r w:rsidR="00C247A0" w:rsidRPr="00C247A0">
        <w:rPr>
          <w:rStyle w:val="doplnuchazeChar"/>
          <w:rFonts w:ascii="Arial" w:hAnsi="Arial" w:cs="Arial"/>
          <w:b w:val="0"/>
          <w:bCs/>
          <w:szCs w:val="22"/>
        </w:rPr>
        <w:t xml:space="preserve">Mgr. Pavel Skořepa, Email: </w:t>
      </w:r>
      <w:r w:rsidR="00CF7793">
        <w:rPr>
          <w:rStyle w:val="doplnuchazeChar"/>
          <w:rFonts w:ascii="Arial" w:hAnsi="Arial" w:cs="Arial"/>
          <w:b w:val="0"/>
          <w:bCs/>
          <w:szCs w:val="22"/>
        </w:rPr>
        <w:t>XXX</w:t>
      </w:r>
      <w:r w:rsidR="00C247A0" w:rsidRPr="00C247A0">
        <w:rPr>
          <w:rStyle w:val="doplnuchazeChar"/>
          <w:rFonts w:ascii="Arial" w:hAnsi="Arial" w:cs="Arial"/>
          <w:b w:val="0"/>
          <w:bCs/>
          <w:szCs w:val="22"/>
        </w:rPr>
        <w:t xml:space="preserve">, Tel: </w:t>
      </w:r>
      <w:r w:rsidR="00CF7793">
        <w:rPr>
          <w:rStyle w:val="doplnuchazeChar"/>
          <w:rFonts w:ascii="Arial" w:hAnsi="Arial" w:cs="Arial"/>
          <w:b w:val="0"/>
          <w:bCs/>
          <w:szCs w:val="22"/>
        </w:rPr>
        <w:t>XXX XXX XXX</w:t>
      </w:r>
      <w:r w:rsidRPr="00C247A0">
        <w:rPr>
          <w:rStyle w:val="doplnuchazeChar"/>
          <w:rFonts w:ascii="Arial" w:hAnsi="Arial" w:cs="Arial"/>
          <w:b w:val="0"/>
          <w:bCs/>
          <w:szCs w:val="22"/>
        </w:rPr>
        <w:t>.</w:t>
      </w:r>
    </w:p>
    <w:p w14:paraId="0AC627BA"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14:paraId="6EEECDEE" w14:textId="4FD5CF78"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00BB557A">
        <w:rPr>
          <w:rFonts w:ascii="Arial" w:hAnsi="Arial" w:cs="Arial"/>
          <w:szCs w:val="22"/>
          <w:lang w:eastAsia="en-US"/>
        </w:rPr>
        <w:t>XXX</w:t>
      </w:r>
      <w:r w:rsidR="00C247A0" w:rsidRPr="00C247A0">
        <w:rPr>
          <w:rFonts w:ascii="Arial" w:hAnsi="Arial" w:cs="Arial"/>
          <w:szCs w:val="22"/>
          <w:lang w:eastAsia="en-US"/>
        </w:rPr>
        <w:t xml:space="preserve"> </w:t>
      </w:r>
      <w:r w:rsidR="00BB557A">
        <w:rPr>
          <w:rFonts w:ascii="Arial" w:hAnsi="Arial" w:cs="Arial"/>
          <w:szCs w:val="22"/>
          <w:lang w:eastAsia="en-US"/>
        </w:rPr>
        <w:t>XXX XXX</w:t>
      </w:r>
      <w:r w:rsidRPr="00F86725">
        <w:rPr>
          <w:rStyle w:val="doplnuchazeChar"/>
          <w:rFonts w:ascii="Arial" w:hAnsi="Arial" w:cs="Arial"/>
          <w:b w:val="0"/>
          <w:szCs w:val="22"/>
        </w:rPr>
        <w:t xml:space="preserve"> a na e-mailové adrese</w:t>
      </w:r>
      <w:r w:rsidR="00C247A0">
        <w:rPr>
          <w:rStyle w:val="doplnuchazeChar"/>
          <w:rFonts w:ascii="Arial" w:hAnsi="Arial" w:cs="Arial"/>
          <w:b w:val="0"/>
          <w:szCs w:val="22"/>
        </w:rPr>
        <w:t xml:space="preserve"> </w:t>
      </w:r>
      <w:r w:rsidR="00BB557A">
        <w:rPr>
          <w:rStyle w:val="doplnuchazeChar"/>
          <w:rFonts w:ascii="Arial" w:hAnsi="Arial" w:cs="Arial"/>
          <w:b w:val="0"/>
          <w:szCs w:val="22"/>
        </w:rPr>
        <w:t>XXX</w:t>
      </w:r>
      <w:r w:rsidRPr="00F86725">
        <w:rPr>
          <w:rStyle w:val="doplnuchazeChar"/>
          <w:rFonts w:ascii="Arial" w:hAnsi="Arial" w:cs="Arial"/>
          <w:b w:val="0"/>
          <w:szCs w:val="22"/>
        </w:rPr>
        <w:t>, a to v pracovní dny v době od 8 hod do 16 hod.</w:t>
      </w:r>
    </w:p>
    <w:p w14:paraId="0ADA5145" w14:textId="77777777" w:rsidR="00E63721" w:rsidRPr="00F86725" w:rsidRDefault="00E63721" w:rsidP="008820AF">
      <w:pPr>
        <w:pStyle w:val="RLlneksmlouvy"/>
        <w:rPr>
          <w:rFonts w:ascii="Arial" w:hAnsi="Arial" w:cs="Arial"/>
          <w:szCs w:val="22"/>
        </w:rPr>
      </w:pPr>
      <w:r w:rsidRPr="00F86725">
        <w:rPr>
          <w:rFonts w:ascii="Arial" w:hAnsi="Arial" w:cs="Arial"/>
          <w:szCs w:val="22"/>
        </w:rPr>
        <w:lastRenderedPageBreak/>
        <w:t>ZÁVĚREČNÁ USTANOVENÍ</w:t>
      </w:r>
    </w:p>
    <w:p w14:paraId="746C7C8F"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14:paraId="00F37882"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14:paraId="1762BEC3" w14:textId="77777777"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14:paraId="423D06C6" w14:textId="67AB7EE8"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místně příslušným soudem vždy soud určený podle sídla Kupujícího.</w:t>
      </w:r>
    </w:p>
    <w:p w14:paraId="3A39A74B"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14:paraId="50D3C3CF" w14:textId="77777777"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14:paraId="670BB4B0" w14:textId="77777777"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772"/>
        <w:gridCol w:w="5514"/>
      </w:tblGrid>
      <w:tr w:rsidR="00E63721" w:rsidRPr="00F86725" w14:paraId="467FF625" w14:textId="77777777" w:rsidTr="0028773D">
        <w:trPr>
          <w:jc w:val="center"/>
        </w:trPr>
        <w:tc>
          <w:tcPr>
            <w:tcW w:w="2031" w:type="pct"/>
          </w:tcPr>
          <w:p w14:paraId="471FB1A2" w14:textId="77777777" w:rsidR="00E63721" w:rsidRPr="00EF584C" w:rsidRDefault="00E63721" w:rsidP="0028773D">
            <w:pPr>
              <w:pStyle w:val="Seznamploh"/>
              <w:rPr>
                <w:rFonts w:ascii="Arial" w:hAnsi="Arial" w:cs="Arial"/>
                <w:b/>
                <w:szCs w:val="22"/>
              </w:rPr>
            </w:pPr>
            <w:bookmarkStart w:id="17" w:name="OLE_LINK1"/>
            <w:r w:rsidRPr="00EF584C">
              <w:rPr>
                <w:rFonts w:ascii="Arial" w:hAnsi="Arial" w:cs="Arial"/>
                <w:b/>
                <w:szCs w:val="22"/>
              </w:rPr>
              <w:t>Příloha č. 1:</w:t>
            </w:r>
            <w:bookmarkEnd w:id="17"/>
          </w:p>
        </w:tc>
        <w:tc>
          <w:tcPr>
            <w:tcW w:w="2969" w:type="pct"/>
          </w:tcPr>
          <w:p w14:paraId="25EE6AB2" w14:textId="77777777"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14:paraId="239C6C72" w14:textId="77777777" w:rsidTr="0028773D">
        <w:trPr>
          <w:jc w:val="center"/>
        </w:trPr>
        <w:tc>
          <w:tcPr>
            <w:tcW w:w="2031" w:type="pct"/>
          </w:tcPr>
          <w:p w14:paraId="3612CE39"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14:paraId="0A7E1FF3" w14:textId="77777777"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14:paraId="0165C701" w14:textId="77777777" w:rsidTr="0028773D">
        <w:trPr>
          <w:jc w:val="center"/>
        </w:trPr>
        <w:tc>
          <w:tcPr>
            <w:tcW w:w="2031" w:type="pct"/>
          </w:tcPr>
          <w:p w14:paraId="42F9099C"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14:paraId="66F2885A" w14:textId="77777777" w:rsidR="00E63721" w:rsidRPr="00F86725" w:rsidRDefault="00E63721" w:rsidP="0028773D">
            <w:pPr>
              <w:rPr>
                <w:rFonts w:ascii="Arial" w:hAnsi="Arial" w:cs="Arial"/>
              </w:rPr>
            </w:pPr>
            <w:r>
              <w:rPr>
                <w:rFonts w:ascii="Arial" w:hAnsi="Arial" w:cs="Arial"/>
                <w:szCs w:val="22"/>
              </w:rPr>
              <w:t>Seznam odběrných míst</w:t>
            </w:r>
          </w:p>
        </w:tc>
      </w:tr>
      <w:tr w:rsidR="00E63721" w:rsidRPr="00F86725" w14:paraId="459F6EA7" w14:textId="77777777" w:rsidTr="0028773D">
        <w:trPr>
          <w:jc w:val="center"/>
        </w:trPr>
        <w:tc>
          <w:tcPr>
            <w:tcW w:w="2031" w:type="pct"/>
          </w:tcPr>
          <w:p w14:paraId="389030D4" w14:textId="77777777" w:rsidR="00E63721" w:rsidRPr="00EF584C" w:rsidDel="00891ADD" w:rsidRDefault="00E63721" w:rsidP="009D7920">
            <w:pPr>
              <w:pStyle w:val="Seznamploh"/>
              <w:ind w:left="0" w:firstLine="0"/>
              <w:rPr>
                <w:rFonts w:ascii="Arial" w:hAnsi="Arial" w:cs="Arial"/>
                <w:b/>
                <w:szCs w:val="22"/>
              </w:rPr>
            </w:pPr>
          </w:p>
        </w:tc>
        <w:tc>
          <w:tcPr>
            <w:tcW w:w="2969" w:type="pct"/>
          </w:tcPr>
          <w:p w14:paraId="0EAE0917" w14:textId="77777777" w:rsidR="00E63721" w:rsidRPr="00F86725" w:rsidDel="00891ADD" w:rsidRDefault="00E63721" w:rsidP="0028773D">
            <w:pPr>
              <w:rPr>
                <w:rFonts w:ascii="Arial" w:hAnsi="Arial" w:cs="Arial"/>
              </w:rPr>
            </w:pPr>
          </w:p>
        </w:tc>
      </w:tr>
    </w:tbl>
    <w:p w14:paraId="1064D875"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14:paraId="07D0C78A"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14:paraId="028B9C94" w14:textId="77777777" w:rsidR="007463F3" w:rsidRPr="00F86725" w:rsidRDefault="007463F3" w:rsidP="00C247A0">
      <w:pPr>
        <w:pStyle w:val="RLTextlnkuslovan"/>
        <w:numPr>
          <w:ilvl w:val="0"/>
          <w:numId w:val="0"/>
        </w:numPr>
        <w:rPr>
          <w:rFonts w:ascii="Arial" w:hAnsi="Arial" w:cs="Arial"/>
          <w:szCs w:val="22"/>
          <w:lang w:eastAsia="en-US"/>
        </w:rPr>
      </w:pPr>
    </w:p>
    <w:tbl>
      <w:tblPr>
        <w:tblpPr w:leftFromText="141" w:rightFromText="141" w:vertAnchor="text" w:horzAnchor="margin" w:tblpY="1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211"/>
      </w:tblGrid>
      <w:tr w:rsidR="00E63721" w:rsidRPr="00F86725" w14:paraId="59C9F223" w14:textId="77777777" w:rsidTr="007D7C1F">
        <w:tc>
          <w:tcPr>
            <w:tcW w:w="4678" w:type="dxa"/>
          </w:tcPr>
          <w:p w14:paraId="2DC8D9F6" w14:textId="15F8E533" w:rsidR="00E63721" w:rsidRPr="00F86725" w:rsidRDefault="00E63721" w:rsidP="007D7C1F">
            <w:pPr>
              <w:jc w:val="center"/>
              <w:rPr>
                <w:rFonts w:ascii="Arial" w:hAnsi="Arial" w:cs="Arial"/>
              </w:rPr>
            </w:pPr>
            <w:r w:rsidRPr="00F86725">
              <w:rPr>
                <w:rFonts w:ascii="Arial" w:hAnsi="Arial" w:cs="Arial"/>
                <w:szCs w:val="22"/>
                <w:lang w:eastAsia="en-US"/>
              </w:rPr>
              <w:t>V</w:t>
            </w:r>
            <w:r w:rsidR="007D7C1F">
              <w:rPr>
                <w:rFonts w:ascii="Arial" w:hAnsi="Arial" w:cs="Arial"/>
                <w:szCs w:val="22"/>
                <w:lang w:eastAsia="en-US"/>
              </w:rPr>
              <w:t> Praze</w:t>
            </w:r>
            <w:r w:rsidRPr="00F86725">
              <w:rPr>
                <w:rFonts w:ascii="Arial" w:hAnsi="Arial" w:cs="Arial"/>
                <w:szCs w:val="22"/>
                <w:lang w:eastAsia="en-US"/>
              </w:rPr>
              <w:t xml:space="preserve"> dne </w:t>
            </w:r>
            <w:r w:rsidR="00A43551">
              <w:rPr>
                <w:rFonts w:ascii="Arial" w:hAnsi="Arial" w:cs="Arial"/>
                <w:szCs w:val="22"/>
                <w:lang w:eastAsia="en-US"/>
              </w:rPr>
              <w:t>6</w:t>
            </w:r>
            <w:r w:rsidR="007D7C1F">
              <w:rPr>
                <w:rFonts w:ascii="Arial" w:hAnsi="Arial" w:cs="Arial"/>
                <w:szCs w:val="22"/>
                <w:lang w:eastAsia="en-US"/>
              </w:rPr>
              <w:t>.</w:t>
            </w:r>
            <w:r w:rsidR="00A43551">
              <w:rPr>
                <w:rFonts w:ascii="Arial" w:hAnsi="Arial" w:cs="Arial"/>
                <w:szCs w:val="22"/>
                <w:lang w:eastAsia="en-US"/>
              </w:rPr>
              <w:t xml:space="preserve"> 9</w:t>
            </w:r>
            <w:r w:rsidR="007D7C1F">
              <w:rPr>
                <w:rFonts w:ascii="Arial" w:hAnsi="Arial" w:cs="Arial"/>
                <w:szCs w:val="22"/>
                <w:lang w:eastAsia="en-US"/>
              </w:rPr>
              <w:t>. 2021</w:t>
            </w:r>
          </w:p>
          <w:p w14:paraId="0D5E88C3" w14:textId="77777777" w:rsidR="00E63721" w:rsidRPr="00F86725" w:rsidRDefault="00E63721" w:rsidP="00F86725">
            <w:pPr>
              <w:spacing w:after="0" w:line="240" w:lineRule="auto"/>
              <w:rPr>
                <w:rFonts w:ascii="Arial" w:hAnsi="Arial" w:cs="Arial"/>
              </w:rPr>
            </w:pPr>
          </w:p>
        </w:tc>
        <w:tc>
          <w:tcPr>
            <w:tcW w:w="5211" w:type="dxa"/>
          </w:tcPr>
          <w:p w14:paraId="7EB164DF" w14:textId="566ADB8F" w:rsidR="00E63721" w:rsidRPr="009B7164" w:rsidRDefault="00E63721" w:rsidP="00F86725">
            <w:pPr>
              <w:jc w:val="center"/>
              <w:rPr>
                <w:rFonts w:ascii="Arial" w:hAnsi="Arial" w:cs="Arial"/>
                <w:lang w:eastAsia="en-US"/>
              </w:rPr>
            </w:pPr>
            <w:r w:rsidRPr="009B7164">
              <w:rPr>
                <w:rFonts w:ascii="Arial" w:hAnsi="Arial" w:cs="Arial"/>
                <w:szCs w:val="22"/>
                <w:lang w:eastAsia="en-US"/>
              </w:rPr>
              <w:t xml:space="preserve">V </w:t>
            </w:r>
            <w:r w:rsidR="00C247A0" w:rsidRPr="009B7164">
              <w:rPr>
                <w:rFonts w:ascii="Arial" w:hAnsi="Arial" w:cs="Arial"/>
                <w:szCs w:val="22"/>
                <w:lang w:eastAsia="en-US"/>
              </w:rPr>
              <w:t>Plzni</w:t>
            </w:r>
            <w:r w:rsidRPr="009B7164">
              <w:rPr>
                <w:rFonts w:ascii="Arial" w:hAnsi="Arial" w:cs="Arial"/>
                <w:szCs w:val="22"/>
                <w:lang w:eastAsia="en-US"/>
              </w:rPr>
              <w:t xml:space="preserve"> dne </w:t>
            </w:r>
            <w:r w:rsidR="00A24CAA">
              <w:rPr>
                <w:rFonts w:ascii="Arial" w:hAnsi="Arial" w:cs="Arial"/>
                <w:szCs w:val="22"/>
                <w:lang w:eastAsia="en-US"/>
              </w:rPr>
              <w:t>30</w:t>
            </w:r>
            <w:r w:rsidR="00C247A0" w:rsidRPr="009B7164">
              <w:rPr>
                <w:rFonts w:ascii="Arial" w:hAnsi="Arial" w:cs="Arial"/>
                <w:szCs w:val="22"/>
                <w:lang w:eastAsia="en-US"/>
              </w:rPr>
              <w:t xml:space="preserve">. </w:t>
            </w:r>
            <w:r w:rsidR="009B7164" w:rsidRPr="009B7164">
              <w:rPr>
                <w:rFonts w:ascii="Arial" w:hAnsi="Arial" w:cs="Arial"/>
                <w:szCs w:val="22"/>
                <w:lang w:eastAsia="en-US"/>
              </w:rPr>
              <w:t>8</w:t>
            </w:r>
            <w:r w:rsidR="00C247A0" w:rsidRPr="009B7164">
              <w:rPr>
                <w:rFonts w:ascii="Arial" w:hAnsi="Arial" w:cs="Arial"/>
                <w:szCs w:val="22"/>
                <w:lang w:eastAsia="en-US"/>
              </w:rPr>
              <w:t>. 2021</w:t>
            </w:r>
          </w:p>
          <w:p w14:paraId="7677BC83" w14:textId="77777777" w:rsidR="00E63721" w:rsidRPr="009B7164" w:rsidRDefault="00E63721" w:rsidP="00F86725">
            <w:pPr>
              <w:jc w:val="center"/>
              <w:rPr>
                <w:rFonts w:ascii="Arial" w:hAnsi="Arial" w:cs="Arial"/>
                <w:lang w:eastAsia="en-US"/>
              </w:rPr>
            </w:pPr>
          </w:p>
          <w:p w14:paraId="6A87F761" w14:textId="2440EE06" w:rsidR="00E63721" w:rsidRPr="009B7164" w:rsidRDefault="00E63721" w:rsidP="00F86725">
            <w:pPr>
              <w:jc w:val="center"/>
              <w:rPr>
                <w:rFonts w:ascii="Arial" w:hAnsi="Arial" w:cs="Arial"/>
                <w:bCs/>
                <w:lang w:eastAsia="en-US"/>
              </w:rPr>
            </w:pPr>
          </w:p>
          <w:p w14:paraId="7D2A45F0" w14:textId="77777777" w:rsidR="00E63721" w:rsidRPr="009B7164" w:rsidRDefault="00E63721" w:rsidP="00F86725">
            <w:pPr>
              <w:jc w:val="center"/>
              <w:rPr>
                <w:rFonts w:ascii="Arial" w:hAnsi="Arial" w:cs="Arial"/>
                <w:lang w:eastAsia="en-US"/>
              </w:rPr>
            </w:pPr>
          </w:p>
        </w:tc>
      </w:tr>
      <w:tr w:rsidR="00E63721" w:rsidRPr="00F86725" w14:paraId="2C242827" w14:textId="77777777" w:rsidTr="007D7C1F">
        <w:tc>
          <w:tcPr>
            <w:tcW w:w="4678" w:type="dxa"/>
          </w:tcPr>
          <w:p w14:paraId="35A72663" w14:textId="77777777" w:rsidR="007D7C1F" w:rsidRDefault="00E63721" w:rsidP="007D7C1F">
            <w:pPr>
              <w:jc w:val="center"/>
              <w:rPr>
                <w:rFonts w:ascii="Arial" w:hAnsi="Arial" w:cs="Arial"/>
                <w:color w:val="000000"/>
                <w:szCs w:val="22"/>
              </w:rPr>
            </w:pPr>
            <w:r w:rsidRPr="00F86725">
              <w:rPr>
                <w:rFonts w:ascii="Arial" w:hAnsi="Arial" w:cs="Arial"/>
                <w:szCs w:val="22"/>
              </w:rPr>
              <w:t xml:space="preserve">........................................................................ </w:t>
            </w:r>
            <w:r w:rsidR="007D7C1F" w:rsidRPr="007D7C1F">
              <w:rPr>
                <w:rFonts w:ascii="Arial" w:hAnsi="Arial" w:cs="Arial"/>
                <w:color w:val="000000"/>
                <w:szCs w:val="22"/>
              </w:rPr>
              <w:t>Česká republika -Státní pozemkový úřad Mgr. Pavel Škeřík</w:t>
            </w:r>
          </w:p>
          <w:p w14:paraId="4497DD9B" w14:textId="42A100C4" w:rsidR="00E63721" w:rsidRPr="00F86725" w:rsidRDefault="007D7C1F" w:rsidP="007D7C1F">
            <w:pPr>
              <w:spacing w:before="120"/>
              <w:jc w:val="center"/>
              <w:rPr>
                <w:rFonts w:ascii="Arial" w:hAnsi="Arial" w:cs="Arial"/>
                <w:lang w:eastAsia="en-US"/>
              </w:rPr>
            </w:pPr>
            <w:r w:rsidRPr="007D7C1F">
              <w:rPr>
                <w:rFonts w:ascii="Arial" w:hAnsi="Arial" w:cs="Arial"/>
                <w:color w:val="000000"/>
                <w:szCs w:val="22"/>
              </w:rPr>
              <w:t>ředitel Sekce provozních činností</w:t>
            </w:r>
          </w:p>
        </w:tc>
        <w:tc>
          <w:tcPr>
            <w:tcW w:w="5211" w:type="dxa"/>
          </w:tcPr>
          <w:p w14:paraId="169C7444" w14:textId="6F469ABD" w:rsidR="00C247A0" w:rsidRPr="00C247A0" w:rsidRDefault="00E63721" w:rsidP="00C247A0">
            <w:pPr>
              <w:spacing w:after="0" w:line="240" w:lineRule="exact"/>
              <w:jc w:val="center"/>
              <w:rPr>
                <w:rFonts w:ascii="Arial" w:hAnsi="Arial" w:cs="Arial"/>
                <w:bCs/>
                <w:szCs w:val="22"/>
                <w:lang w:eastAsia="en-US"/>
              </w:rPr>
            </w:pPr>
            <w:r w:rsidRPr="00F86725">
              <w:rPr>
                <w:rFonts w:ascii="Arial" w:hAnsi="Arial" w:cs="Arial"/>
                <w:szCs w:val="22"/>
                <w:lang w:eastAsia="en-US"/>
              </w:rPr>
              <w:t>........................................................................</w:t>
            </w:r>
            <w:r w:rsidR="002E128A">
              <w:rPr>
                <w:rFonts w:ascii="Arial" w:hAnsi="Arial" w:cs="Arial"/>
                <w:bCs/>
                <w:szCs w:val="22"/>
                <w:highlight w:val="yellow"/>
                <w:lang w:eastAsia="en-US"/>
              </w:rPr>
              <w:t xml:space="preserve"> </w:t>
            </w:r>
            <w:r w:rsidR="00C247A0">
              <w:t xml:space="preserve">  </w:t>
            </w:r>
            <w:r w:rsidR="00C247A0" w:rsidRPr="00C247A0">
              <w:rPr>
                <w:rFonts w:ascii="Arial" w:hAnsi="Arial" w:cs="Arial"/>
                <w:bCs/>
                <w:szCs w:val="22"/>
                <w:lang w:eastAsia="en-US"/>
              </w:rPr>
              <w:t>Mgr. Pavel Skořepa</w:t>
            </w:r>
          </w:p>
          <w:p w14:paraId="111D4D1E" w14:textId="0B251419" w:rsidR="00E63721" w:rsidRPr="00F86725" w:rsidRDefault="00C247A0" w:rsidP="00C247A0">
            <w:pPr>
              <w:spacing w:after="0" w:line="240" w:lineRule="exact"/>
              <w:jc w:val="center"/>
              <w:rPr>
                <w:rFonts w:ascii="Arial" w:hAnsi="Arial" w:cs="Arial"/>
                <w:lang w:eastAsia="en-US"/>
              </w:rPr>
            </w:pPr>
            <w:r w:rsidRPr="00C247A0">
              <w:rPr>
                <w:rFonts w:ascii="Arial" w:hAnsi="Arial" w:cs="Arial"/>
                <w:bCs/>
                <w:szCs w:val="22"/>
                <w:lang w:eastAsia="en-US"/>
              </w:rPr>
              <w:t xml:space="preserve">                                                                                        Jednatel společnosti Azenet s.r.o.</w:t>
            </w:r>
          </w:p>
        </w:tc>
      </w:tr>
    </w:tbl>
    <w:p w14:paraId="0225391D" w14:textId="77777777" w:rsidR="00E63721" w:rsidRPr="00F86725" w:rsidRDefault="00E63721" w:rsidP="008820AF">
      <w:pPr>
        <w:pStyle w:val="RLProhlensmluvnchstran"/>
        <w:rPr>
          <w:rFonts w:ascii="Arial" w:hAnsi="Arial" w:cs="Arial"/>
          <w:szCs w:val="22"/>
        </w:rPr>
      </w:pPr>
    </w:p>
    <w:p w14:paraId="690CB1F3" w14:textId="77777777" w:rsidR="00E63721" w:rsidRPr="00F86725" w:rsidRDefault="00E63721" w:rsidP="008820AF">
      <w:pPr>
        <w:pStyle w:val="RLProhlensmluvnchstran"/>
        <w:rPr>
          <w:rFonts w:ascii="Arial" w:hAnsi="Arial" w:cs="Arial"/>
          <w:szCs w:val="22"/>
          <w:lang w:eastAsia="en-US"/>
        </w:rPr>
      </w:pPr>
    </w:p>
    <w:p w14:paraId="27139BC3" w14:textId="77777777" w:rsidR="00E63721" w:rsidRPr="00F86725" w:rsidRDefault="00E63721" w:rsidP="008820AF">
      <w:pPr>
        <w:pStyle w:val="RLProhlensmluvnchstran"/>
        <w:rPr>
          <w:rFonts w:ascii="Arial" w:hAnsi="Arial" w:cs="Arial"/>
          <w:szCs w:val="22"/>
          <w:lang w:eastAsia="en-US"/>
        </w:rPr>
        <w:sectPr w:rsidR="00E63721" w:rsidRPr="00F86725" w:rsidSect="00053F45">
          <w:footerReference w:type="default" r:id="rId14"/>
          <w:pgSz w:w="11906" w:h="16838" w:code="9"/>
          <w:pgMar w:top="709" w:right="1418" w:bottom="1418" w:left="1418" w:header="1134" w:footer="709" w:gutter="0"/>
          <w:cols w:space="708"/>
          <w:titlePg/>
          <w:docGrid w:linePitch="360"/>
        </w:sectPr>
      </w:pPr>
    </w:p>
    <w:p w14:paraId="364B4236" w14:textId="77777777" w:rsidR="00E63721" w:rsidRDefault="00E63721" w:rsidP="006138EC">
      <w:pPr>
        <w:pStyle w:val="RLProhlensmluvnchstran"/>
        <w:jc w:val="left"/>
        <w:rPr>
          <w:rFonts w:ascii="Arial" w:hAnsi="Arial" w:cs="Arial"/>
          <w:szCs w:val="22"/>
        </w:rPr>
      </w:pPr>
      <w:bookmarkStart w:id="18" w:name="Annex01"/>
      <w:r w:rsidRPr="00F86725">
        <w:rPr>
          <w:rFonts w:ascii="Arial" w:hAnsi="Arial" w:cs="Arial"/>
          <w:szCs w:val="22"/>
        </w:rPr>
        <w:lastRenderedPageBreak/>
        <w:t>Příloha č. 1</w:t>
      </w:r>
      <w:r w:rsidR="006138EC">
        <w:rPr>
          <w:rFonts w:ascii="Arial" w:hAnsi="Arial" w:cs="Arial"/>
          <w:szCs w:val="22"/>
        </w:rPr>
        <w:t xml:space="preserve"> </w:t>
      </w:r>
      <w:r w:rsidR="008D2575">
        <w:rPr>
          <w:rFonts w:ascii="Arial" w:hAnsi="Arial" w:cs="Arial"/>
          <w:szCs w:val="22"/>
        </w:rPr>
        <w:t>Sml – Technická specifikace Zboží</w:t>
      </w:r>
    </w:p>
    <w:p w14:paraId="0037D834" w14:textId="77777777" w:rsidR="006138EC" w:rsidRPr="00F86725" w:rsidRDefault="006138EC" w:rsidP="006138EC">
      <w:pPr>
        <w:pStyle w:val="RLProhlensmluvnchstran"/>
        <w:jc w:val="left"/>
        <w:rPr>
          <w:rFonts w:ascii="Arial" w:hAnsi="Arial" w:cs="Arial"/>
          <w:szCs w:val="22"/>
        </w:rPr>
      </w:pPr>
    </w:p>
    <w:bookmarkEnd w:id="18"/>
    <w:p w14:paraId="796DFA69" w14:textId="77777777" w:rsidR="00190F49" w:rsidRDefault="00E63721" w:rsidP="00CA3054">
      <w:pPr>
        <w:pStyle w:val="RLProhlensmluvnchstran"/>
        <w:tabs>
          <w:tab w:val="center" w:pos="4535"/>
          <w:tab w:val="left" w:pos="6660"/>
        </w:tabs>
        <w:jc w:val="left"/>
        <w:rPr>
          <w:rFonts w:ascii="Arial" w:hAnsi="Arial" w:cs="Arial"/>
          <w:szCs w:val="22"/>
        </w:rPr>
      </w:pPr>
      <w:r w:rsidRPr="00F86725">
        <w:rPr>
          <w:rFonts w:ascii="Arial" w:hAnsi="Arial" w:cs="Arial"/>
          <w:szCs w:val="22"/>
        </w:rPr>
        <w:tab/>
      </w:r>
      <w:r w:rsidR="00D35EC0">
        <w:rPr>
          <w:rFonts w:ascii="Arial" w:hAnsi="Arial" w:cs="Arial"/>
          <w:szCs w:val="22"/>
        </w:rPr>
        <w:t>Technická s</w:t>
      </w:r>
      <w:r w:rsidRPr="00F86725">
        <w:rPr>
          <w:rFonts w:ascii="Arial" w:hAnsi="Arial" w:cs="Arial"/>
          <w:szCs w:val="22"/>
        </w:rPr>
        <w:t xml:space="preserve">pecifikace </w:t>
      </w:r>
      <w:r>
        <w:rPr>
          <w:rFonts w:ascii="Arial" w:hAnsi="Arial" w:cs="Arial"/>
          <w:szCs w:val="22"/>
        </w:rPr>
        <w:t>Zboží</w:t>
      </w:r>
    </w:p>
    <w:p w14:paraId="0B2C7ED7" w14:textId="77777777" w:rsidR="003A6AF0" w:rsidRDefault="003A6AF0" w:rsidP="00CA3054">
      <w:pPr>
        <w:pStyle w:val="RLProhlensmluvnchstran"/>
        <w:tabs>
          <w:tab w:val="center" w:pos="4535"/>
          <w:tab w:val="left" w:pos="6660"/>
        </w:tabs>
        <w:jc w:val="left"/>
        <w:rPr>
          <w:rFonts w:ascii="Arial" w:hAnsi="Arial" w:cs="Arial"/>
          <w:szCs w:val="22"/>
        </w:rPr>
      </w:pPr>
    </w:p>
    <w:tbl>
      <w:tblPr>
        <w:tblW w:w="11042" w:type="dxa"/>
        <w:tblInd w:w="85" w:type="dxa"/>
        <w:tblCellMar>
          <w:left w:w="70" w:type="dxa"/>
          <w:right w:w="70" w:type="dxa"/>
        </w:tblCellMar>
        <w:tblLook w:val="04A0" w:firstRow="1" w:lastRow="0" w:firstColumn="1" w:lastColumn="0" w:noHBand="0" w:noVBand="1"/>
      </w:tblPr>
      <w:tblGrid>
        <w:gridCol w:w="1776"/>
        <w:gridCol w:w="2217"/>
        <w:gridCol w:w="1351"/>
        <w:gridCol w:w="3005"/>
        <w:gridCol w:w="2693"/>
      </w:tblGrid>
      <w:tr w:rsidR="007D7C1F" w:rsidRPr="007D7C1F" w14:paraId="4772E64C" w14:textId="77777777" w:rsidTr="007D7C1F">
        <w:trPr>
          <w:trHeight w:val="390"/>
        </w:trPr>
        <w:tc>
          <w:tcPr>
            <w:tcW w:w="3993" w:type="dxa"/>
            <w:gridSpan w:val="2"/>
            <w:vMerge w:val="restart"/>
            <w:tcBorders>
              <w:top w:val="single" w:sz="12" w:space="0" w:color="auto"/>
              <w:left w:val="single" w:sz="12" w:space="0" w:color="auto"/>
              <w:bottom w:val="single" w:sz="8" w:space="0" w:color="000000"/>
              <w:right w:val="single" w:sz="8" w:space="0" w:color="000000"/>
            </w:tcBorders>
            <w:shd w:val="clear" w:color="000000" w:fill="FFFF99"/>
            <w:vAlign w:val="center"/>
            <w:hideMark/>
          </w:tcPr>
          <w:p w14:paraId="3FF9EA15" w14:textId="77777777" w:rsidR="007D7C1F" w:rsidRPr="007D7C1F" w:rsidRDefault="007D7C1F" w:rsidP="007D7C1F">
            <w:pPr>
              <w:spacing w:after="0" w:line="240" w:lineRule="auto"/>
              <w:jc w:val="center"/>
              <w:rPr>
                <w:rFonts w:cs="Calibri"/>
                <w:b/>
                <w:bCs/>
                <w:i/>
                <w:iCs/>
                <w:sz w:val="28"/>
                <w:szCs w:val="28"/>
              </w:rPr>
            </w:pPr>
            <w:r w:rsidRPr="007D7C1F">
              <w:rPr>
                <w:rFonts w:cs="Calibri"/>
                <w:b/>
                <w:bCs/>
                <w:i/>
                <w:iCs/>
                <w:sz w:val="28"/>
                <w:szCs w:val="28"/>
              </w:rPr>
              <w:t>Funkcionalita / požadované parametry závazné pro dodavatele</w:t>
            </w:r>
          </w:p>
        </w:tc>
        <w:tc>
          <w:tcPr>
            <w:tcW w:w="1351" w:type="dxa"/>
            <w:vMerge w:val="restart"/>
            <w:tcBorders>
              <w:top w:val="single" w:sz="12" w:space="0" w:color="auto"/>
              <w:left w:val="double" w:sz="6" w:space="0" w:color="auto"/>
              <w:bottom w:val="single" w:sz="8" w:space="0" w:color="000000"/>
              <w:right w:val="double" w:sz="6" w:space="0" w:color="auto"/>
            </w:tcBorders>
            <w:shd w:val="clear" w:color="000000" w:fill="FFFF99"/>
            <w:vAlign w:val="center"/>
            <w:hideMark/>
          </w:tcPr>
          <w:p w14:paraId="7195F6FA" w14:textId="77777777" w:rsidR="007D7C1F" w:rsidRPr="007D7C1F" w:rsidRDefault="007D7C1F" w:rsidP="007D7C1F">
            <w:pPr>
              <w:spacing w:after="0" w:line="240" w:lineRule="auto"/>
              <w:jc w:val="center"/>
              <w:rPr>
                <w:rFonts w:cs="Calibri"/>
                <w:b/>
                <w:bCs/>
                <w:i/>
                <w:iCs/>
                <w:sz w:val="24"/>
              </w:rPr>
            </w:pPr>
            <w:r w:rsidRPr="007D7C1F">
              <w:rPr>
                <w:rFonts w:cs="Calibri"/>
                <w:b/>
                <w:bCs/>
                <w:i/>
                <w:iCs/>
                <w:sz w:val="24"/>
              </w:rPr>
              <w:t>min. / max.</w:t>
            </w:r>
          </w:p>
        </w:tc>
        <w:tc>
          <w:tcPr>
            <w:tcW w:w="3005" w:type="dxa"/>
            <w:tcBorders>
              <w:top w:val="single" w:sz="12" w:space="0" w:color="auto"/>
              <w:left w:val="nil"/>
              <w:bottom w:val="single" w:sz="4" w:space="0" w:color="auto"/>
              <w:right w:val="single" w:sz="8" w:space="0" w:color="auto"/>
            </w:tcBorders>
            <w:shd w:val="clear" w:color="000000" w:fill="FFFF99"/>
            <w:vAlign w:val="center"/>
            <w:hideMark/>
          </w:tcPr>
          <w:p w14:paraId="2130BC60" w14:textId="77777777" w:rsidR="007D7C1F" w:rsidRPr="007D7C1F" w:rsidRDefault="007D7C1F" w:rsidP="007D7C1F">
            <w:pPr>
              <w:spacing w:after="0" w:line="240" w:lineRule="auto"/>
              <w:jc w:val="center"/>
              <w:rPr>
                <w:rFonts w:cs="Calibri"/>
                <w:b/>
                <w:bCs/>
                <w:i/>
                <w:iCs/>
                <w:sz w:val="28"/>
                <w:szCs w:val="28"/>
              </w:rPr>
            </w:pPr>
            <w:r w:rsidRPr="007D7C1F">
              <w:rPr>
                <w:rFonts w:cs="Calibri"/>
                <w:b/>
                <w:bCs/>
                <w:i/>
                <w:iCs/>
                <w:sz w:val="28"/>
                <w:szCs w:val="28"/>
              </w:rPr>
              <w:t xml:space="preserve"> Monitor M 01</w:t>
            </w:r>
          </w:p>
        </w:tc>
        <w:tc>
          <w:tcPr>
            <w:tcW w:w="2693" w:type="dxa"/>
            <w:tcBorders>
              <w:top w:val="single" w:sz="12" w:space="0" w:color="auto"/>
              <w:left w:val="double" w:sz="6" w:space="0" w:color="auto"/>
              <w:bottom w:val="single" w:sz="4" w:space="0" w:color="auto"/>
              <w:right w:val="single" w:sz="8" w:space="0" w:color="auto"/>
            </w:tcBorders>
            <w:shd w:val="clear" w:color="000000" w:fill="FFFF99"/>
            <w:vAlign w:val="center"/>
            <w:hideMark/>
          </w:tcPr>
          <w:p w14:paraId="65B7638C" w14:textId="77777777" w:rsidR="007D7C1F" w:rsidRPr="007D7C1F" w:rsidRDefault="007D7C1F" w:rsidP="007D7C1F">
            <w:pPr>
              <w:spacing w:after="0" w:line="240" w:lineRule="auto"/>
              <w:jc w:val="center"/>
              <w:rPr>
                <w:rFonts w:cs="Calibri"/>
                <w:b/>
                <w:bCs/>
                <w:i/>
                <w:iCs/>
                <w:sz w:val="28"/>
                <w:szCs w:val="28"/>
              </w:rPr>
            </w:pPr>
            <w:r w:rsidRPr="007D7C1F">
              <w:rPr>
                <w:rFonts w:cs="Calibri"/>
                <w:b/>
                <w:bCs/>
                <w:i/>
                <w:iCs/>
                <w:sz w:val="28"/>
                <w:szCs w:val="28"/>
              </w:rPr>
              <w:t xml:space="preserve"> Monitor M 01</w:t>
            </w:r>
          </w:p>
        </w:tc>
      </w:tr>
      <w:tr w:rsidR="007D7C1F" w:rsidRPr="007D7C1F" w14:paraId="1CB2C582" w14:textId="77777777" w:rsidTr="007D7C1F">
        <w:trPr>
          <w:trHeight w:val="315"/>
        </w:trPr>
        <w:tc>
          <w:tcPr>
            <w:tcW w:w="3993" w:type="dxa"/>
            <w:gridSpan w:val="2"/>
            <w:vMerge/>
            <w:tcBorders>
              <w:top w:val="single" w:sz="12" w:space="0" w:color="auto"/>
              <w:left w:val="single" w:sz="12" w:space="0" w:color="auto"/>
              <w:bottom w:val="single" w:sz="8" w:space="0" w:color="000000"/>
              <w:right w:val="single" w:sz="8" w:space="0" w:color="000000"/>
            </w:tcBorders>
            <w:vAlign w:val="center"/>
            <w:hideMark/>
          </w:tcPr>
          <w:p w14:paraId="1DF9D5CA" w14:textId="77777777" w:rsidR="007D7C1F" w:rsidRPr="007D7C1F" w:rsidRDefault="007D7C1F" w:rsidP="007D7C1F">
            <w:pPr>
              <w:spacing w:after="0" w:line="240" w:lineRule="auto"/>
              <w:rPr>
                <w:rFonts w:cs="Calibri"/>
                <w:b/>
                <w:bCs/>
                <w:i/>
                <w:iCs/>
                <w:sz w:val="28"/>
                <w:szCs w:val="28"/>
              </w:rPr>
            </w:pPr>
          </w:p>
        </w:tc>
        <w:tc>
          <w:tcPr>
            <w:tcW w:w="1351" w:type="dxa"/>
            <w:vMerge/>
            <w:tcBorders>
              <w:top w:val="single" w:sz="12" w:space="0" w:color="auto"/>
              <w:left w:val="double" w:sz="6" w:space="0" w:color="auto"/>
              <w:bottom w:val="single" w:sz="8" w:space="0" w:color="000000"/>
              <w:right w:val="double" w:sz="6" w:space="0" w:color="auto"/>
            </w:tcBorders>
            <w:vAlign w:val="center"/>
            <w:hideMark/>
          </w:tcPr>
          <w:p w14:paraId="148B7A9B" w14:textId="77777777" w:rsidR="007D7C1F" w:rsidRPr="007D7C1F" w:rsidRDefault="007D7C1F" w:rsidP="007D7C1F">
            <w:pPr>
              <w:spacing w:after="0" w:line="240" w:lineRule="auto"/>
              <w:rPr>
                <w:rFonts w:cs="Calibri"/>
                <w:b/>
                <w:bCs/>
                <w:i/>
                <w:iCs/>
                <w:sz w:val="24"/>
              </w:rPr>
            </w:pPr>
          </w:p>
        </w:tc>
        <w:tc>
          <w:tcPr>
            <w:tcW w:w="3005" w:type="dxa"/>
            <w:tcBorders>
              <w:top w:val="nil"/>
              <w:left w:val="nil"/>
              <w:bottom w:val="single" w:sz="4" w:space="0" w:color="auto"/>
              <w:right w:val="single" w:sz="8" w:space="0" w:color="auto"/>
            </w:tcBorders>
            <w:shd w:val="clear" w:color="000000" w:fill="FFFF99"/>
            <w:vAlign w:val="center"/>
            <w:hideMark/>
          </w:tcPr>
          <w:p w14:paraId="45EB4614" w14:textId="77777777" w:rsidR="007D7C1F" w:rsidRPr="007D7C1F" w:rsidRDefault="007D7C1F" w:rsidP="007D7C1F">
            <w:pPr>
              <w:spacing w:after="0" w:line="240" w:lineRule="auto"/>
              <w:jc w:val="center"/>
              <w:rPr>
                <w:rFonts w:cs="Calibri"/>
                <w:b/>
                <w:bCs/>
                <w:i/>
                <w:iCs/>
                <w:sz w:val="24"/>
              </w:rPr>
            </w:pPr>
            <w:r w:rsidRPr="007D7C1F">
              <w:rPr>
                <w:rFonts w:cs="Calibri"/>
                <w:b/>
                <w:bCs/>
                <w:i/>
                <w:iCs/>
                <w:sz w:val="24"/>
              </w:rPr>
              <w:t>(Middle)</w:t>
            </w:r>
          </w:p>
        </w:tc>
        <w:tc>
          <w:tcPr>
            <w:tcW w:w="2693" w:type="dxa"/>
            <w:tcBorders>
              <w:top w:val="nil"/>
              <w:left w:val="double" w:sz="6" w:space="0" w:color="auto"/>
              <w:bottom w:val="single" w:sz="4" w:space="0" w:color="auto"/>
              <w:right w:val="single" w:sz="8" w:space="0" w:color="auto"/>
            </w:tcBorders>
            <w:shd w:val="clear" w:color="000000" w:fill="FFFF99"/>
            <w:vAlign w:val="center"/>
            <w:hideMark/>
          </w:tcPr>
          <w:p w14:paraId="6DEC48D3" w14:textId="77777777" w:rsidR="007D7C1F" w:rsidRPr="007D7C1F" w:rsidRDefault="007D7C1F" w:rsidP="007D7C1F">
            <w:pPr>
              <w:spacing w:after="0" w:line="240" w:lineRule="auto"/>
              <w:jc w:val="center"/>
              <w:rPr>
                <w:rFonts w:cs="Calibri"/>
                <w:b/>
                <w:bCs/>
                <w:i/>
                <w:iCs/>
                <w:sz w:val="24"/>
              </w:rPr>
            </w:pPr>
            <w:r w:rsidRPr="007D7C1F">
              <w:rPr>
                <w:rFonts w:cs="Calibri"/>
                <w:b/>
                <w:bCs/>
                <w:i/>
                <w:iCs/>
                <w:sz w:val="24"/>
              </w:rPr>
              <w:t>(Middle)</w:t>
            </w:r>
          </w:p>
        </w:tc>
      </w:tr>
      <w:tr w:rsidR="007D7C1F" w:rsidRPr="007D7C1F" w14:paraId="6C3104F4" w14:textId="77777777" w:rsidTr="007D7C1F">
        <w:trPr>
          <w:trHeight w:val="330"/>
        </w:trPr>
        <w:tc>
          <w:tcPr>
            <w:tcW w:w="3993" w:type="dxa"/>
            <w:gridSpan w:val="2"/>
            <w:vMerge/>
            <w:tcBorders>
              <w:top w:val="single" w:sz="12" w:space="0" w:color="auto"/>
              <w:left w:val="single" w:sz="12" w:space="0" w:color="auto"/>
              <w:bottom w:val="single" w:sz="8" w:space="0" w:color="000000"/>
              <w:right w:val="single" w:sz="8" w:space="0" w:color="000000"/>
            </w:tcBorders>
            <w:vAlign w:val="center"/>
            <w:hideMark/>
          </w:tcPr>
          <w:p w14:paraId="114FD3A3" w14:textId="77777777" w:rsidR="007D7C1F" w:rsidRPr="007D7C1F" w:rsidRDefault="007D7C1F" w:rsidP="007D7C1F">
            <w:pPr>
              <w:spacing w:after="0" w:line="240" w:lineRule="auto"/>
              <w:rPr>
                <w:rFonts w:cs="Calibri"/>
                <w:b/>
                <w:bCs/>
                <w:i/>
                <w:iCs/>
                <w:sz w:val="28"/>
                <w:szCs w:val="28"/>
              </w:rPr>
            </w:pPr>
          </w:p>
        </w:tc>
        <w:tc>
          <w:tcPr>
            <w:tcW w:w="1351" w:type="dxa"/>
            <w:vMerge/>
            <w:tcBorders>
              <w:top w:val="single" w:sz="12" w:space="0" w:color="auto"/>
              <w:left w:val="double" w:sz="6" w:space="0" w:color="auto"/>
              <w:bottom w:val="single" w:sz="8" w:space="0" w:color="000000"/>
              <w:right w:val="double" w:sz="6" w:space="0" w:color="auto"/>
            </w:tcBorders>
            <w:vAlign w:val="center"/>
            <w:hideMark/>
          </w:tcPr>
          <w:p w14:paraId="3E76CBAA" w14:textId="77777777" w:rsidR="007D7C1F" w:rsidRPr="007D7C1F" w:rsidRDefault="007D7C1F" w:rsidP="007D7C1F">
            <w:pPr>
              <w:spacing w:after="0" w:line="240" w:lineRule="auto"/>
              <w:rPr>
                <w:rFonts w:cs="Calibri"/>
                <w:b/>
                <w:bCs/>
                <w:i/>
                <w:iCs/>
                <w:sz w:val="24"/>
              </w:rPr>
            </w:pPr>
          </w:p>
        </w:tc>
        <w:tc>
          <w:tcPr>
            <w:tcW w:w="3005" w:type="dxa"/>
            <w:tcBorders>
              <w:top w:val="nil"/>
              <w:left w:val="nil"/>
              <w:bottom w:val="single" w:sz="8" w:space="0" w:color="auto"/>
              <w:right w:val="single" w:sz="8" w:space="0" w:color="auto"/>
            </w:tcBorders>
            <w:shd w:val="clear" w:color="000000" w:fill="FABF8F"/>
            <w:vAlign w:val="center"/>
            <w:hideMark/>
          </w:tcPr>
          <w:p w14:paraId="6E6FFC1E" w14:textId="77777777" w:rsidR="007D7C1F" w:rsidRPr="007D7C1F" w:rsidRDefault="007D7C1F" w:rsidP="007D7C1F">
            <w:pPr>
              <w:spacing w:after="0" w:line="240" w:lineRule="auto"/>
              <w:jc w:val="center"/>
              <w:rPr>
                <w:rFonts w:cs="Calibri"/>
                <w:b/>
                <w:bCs/>
                <w:i/>
                <w:iCs/>
                <w:sz w:val="24"/>
              </w:rPr>
            </w:pPr>
            <w:r w:rsidRPr="007D7C1F">
              <w:rPr>
                <w:rFonts w:cs="Calibri"/>
                <w:b/>
                <w:bCs/>
                <w:i/>
                <w:iCs/>
                <w:sz w:val="24"/>
              </w:rPr>
              <w:t>Požadované parametry</w:t>
            </w:r>
          </w:p>
        </w:tc>
        <w:tc>
          <w:tcPr>
            <w:tcW w:w="2693" w:type="dxa"/>
            <w:tcBorders>
              <w:top w:val="nil"/>
              <w:left w:val="double" w:sz="6" w:space="0" w:color="auto"/>
              <w:bottom w:val="single" w:sz="8" w:space="0" w:color="auto"/>
              <w:right w:val="single" w:sz="8" w:space="0" w:color="auto"/>
            </w:tcBorders>
            <w:shd w:val="clear" w:color="000000" w:fill="FABF8F"/>
            <w:vAlign w:val="center"/>
            <w:hideMark/>
          </w:tcPr>
          <w:p w14:paraId="5927F00D" w14:textId="77777777" w:rsidR="007D7C1F" w:rsidRPr="007D7C1F" w:rsidRDefault="007D7C1F" w:rsidP="007D7C1F">
            <w:pPr>
              <w:spacing w:after="0" w:line="240" w:lineRule="auto"/>
              <w:jc w:val="center"/>
              <w:rPr>
                <w:rFonts w:cs="Calibri"/>
                <w:b/>
                <w:bCs/>
                <w:i/>
                <w:iCs/>
                <w:sz w:val="24"/>
              </w:rPr>
            </w:pPr>
            <w:r w:rsidRPr="007D7C1F">
              <w:rPr>
                <w:rFonts w:cs="Calibri"/>
                <w:b/>
                <w:bCs/>
                <w:i/>
                <w:iCs/>
                <w:sz w:val="24"/>
              </w:rPr>
              <w:t>Požadované parametry</w:t>
            </w:r>
          </w:p>
        </w:tc>
      </w:tr>
      <w:tr w:rsidR="007D7C1F" w:rsidRPr="007D7C1F" w14:paraId="43834620" w14:textId="77777777" w:rsidTr="007D7C1F">
        <w:trPr>
          <w:trHeight w:val="330"/>
        </w:trPr>
        <w:tc>
          <w:tcPr>
            <w:tcW w:w="1776" w:type="dxa"/>
            <w:tcBorders>
              <w:top w:val="nil"/>
              <w:left w:val="single" w:sz="12" w:space="0" w:color="auto"/>
              <w:bottom w:val="nil"/>
              <w:right w:val="nil"/>
            </w:tcBorders>
            <w:shd w:val="clear" w:color="000000" w:fill="FFFF99"/>
            <w:vAlign w:val="center"/>
            <w:hideMark/>
          </w:tcPr>
          <w:p w14:paraId="2F97E380" w14:textId="77777777" w:rsidR="007D7C1F" w:rsidRPr="007D7C1F" w:rsidRDefault="007D7C1F" w:rsidP="007D7C1F">
            <w:pPr>
              <w:spacing w:after="0" w:line="240" w:lineRule="auto"/>
              <w:jc w:val="center"/>
              <w:rPr>
                <w:rFonts w:cs="Calibri"/>
                <w:b/>
                <w:bCs/>
                <w:i/>
                <w:iCs/>
                <w:sz w:val="28"/>
                <w:szCs w:val="28"/>
              </w:rPr>
            </w:pPr>
            <w:r w:rsidRPr="007D7C1F">
              <w:rPr>
                <w:rFonts w:cs="Calibri"/>
                <w:b/>
                <w:bCs/>
                <w:i/>
                <w:iCs/>
                <w:sz w:val="28"/>
                <w:szCs w:val="28"/>
              </w:rPr>
              <w:t> </w:t>
            </w:r>
          </w:p>
        </w:tc>
        <w:tc>
          <w:tcPr>
            <w:tcW w:w="2217" w:type="dxa"/>
            <w:tcBorders>
              <w:top w:val="nil"/>
              <w:left w:val="nil"/>
              <w:bottom w:val="nil"/>
              <w:right w:val="single" w:sz="8" w:space="0" w:color="auto"/>
            </w:tcBorders>
            <w:shd w:val="clear" w:color="000000" w:fill="FFFF99"/>
            <w:vAlign w:val="center"/>
            <w:hideMark/>
          </w:tcPr>
          <w:p w14:paraId="70FF7DD6" w14:textId="77777777" w:rsidR="007D7C1F" w:rsidRPr="007D7C1F" w:rsidRDefault="007D7C1F" w:rsidP="007D7C1F">
            <w:pPr>
              <w:spacing w:after="0" w:line="240" w:lineRule="auto"/>
              <w:jc w:val="center"/>
              <w:rPr>
                <w:rFonts w:cs="Calibri"/>
                <w:b/>
                <w:bCs/>
                <w:i/>
                <w:iCs/>
                <w:sz w:val="28"/>
                <w:szCs w:val="28"/>
              </w:rPr>
            </w:pPr>
            <w:r w:rsidRPr="007D7C1F">
              <w:rPr>
                <w:rFonts w:cs="Calibri"/>
                <w:b/>
                <w:bCs/>
                <w:i/>
                <w:iCs/>
                <w:sz w:val="28"/>
                <w:szCs w:val="28"/>
              </w:rPr>
              <w:t> </w:t>
            </w:r>
          </w:p>
        </w:tc>
        <w:tc>
          <w:tcPr>
            <w:tcW w:w="1351" w:type="dxa"/>
            <w:tcBorders>
              <w:top w:val="nil"/>
              <w:left w:val="nil"/>
              <w:bottom w:val="nil"/>
              <w:right w:val="nil"/>
            </w:tcBorders>
            <w:shd w:val="clear" w:color="000000" w:fill="FFFF99"/>
            <w:vAlign w:val="center"/>
            <w:hideMark/>
          </w:tcPr>
          <w:p w14:paraId="148B80DE" w14:textId="77777777" w:rsidR="007D7C1F" w:rsidRPr="007D7C1F" w:rsidRDefault="007D7C1F" w:rsidP="007D7C1F">
            <w:pPr>
              <w:spacing w:after="0" w:line="240" w:lineRule="auto"/>
              <w:jc w:val="center"/>
              <w:rPr>
                <w:rFonts w:cs="Calibri"/>
                <w:b/>
                <w:bCs/>
                <w:i/>
                <w:iCs/>
                <w:sz w:val="24"/>
              </w:rPr>
            </w:pPr>
            <w:r w:rsidRPr="007D7C1F">
              <w:rPr>
                <w:rFonts w:cs="Calibri"/>
                <w:b/>
                <w:bCs/>
                <w:i/>
                <w:iCs/>
                <w:sz w:val="24"/>
              </w:rPr>
              <w:t> </w:t>
            </w:r>
          </w:p>
        </w:tc>
        <w:tc>
          <w:tcPr>
            <w:tcW w:w="3005" w:type="dxa"/>
            <w:tcBorders>
              <w:top w:val="single" w:sz="4" w:space="0" w:color="auto"/>
              <w:left w:val="double" w:sz="6" w:space="0" w:color="auto"/>
              <w:bottom w:val="nil"/>
              <w:right w:val="single" w:sz="8" w:space="0" w:color="auto"/>
            </w:tcBorders>
            <w:shd w:val="clear" w:color="000000" w:fill="FABF8F"/>
            <w:vAlign w:val="center"/>
            <w:hideMark/>
          </w:tcPr>
          <w:p w14:paraId="46DB7D85" w14:textId="77777777" w:rsidR="007D7C1F" w:rsidRPr="007D7C1F" w:rsidRDefault="007D7C1F" w:rsidP="007D7C1F">
            <w:pPr>
              <w:spacing w:after="0" w:line="240" w:lineRule="auto"/>
              <w:jc w:val="center"/>
              <w:rPr>
                <w:rFonts w:cs="Calibri"/>
                <w:b/>
                <w:bCs/>
                <w:i/>
                <w:iCs/>
                <w:sz w:val="24"/>
              </w:rPr>
            </w:pPr>
            <w:r w:rsidRPr="007D7C1F">
              <w:rPr>
                <w:rFonts w:cs="Calibri"/>
                <w:b/>
                <w:bCs/>
                <w:i/>
                <w:iCs/>
                <w:sz w:val="24"/>
              </w:rPr>
              <w:t>3 tis Kč</w:t>
            </w:r>
          </w:p>
        </w:tc>
        <w:tc>
          <w:tcPr>
            <w:tcW w:w="2693" w:type="dxa"/>
            <w:tcBorders>
              <w:top w:val="single" w:sz="4" w:space="0" w:color="auto"/>
              <w:left w:val="double" w:sz="6" w:space="0" w:color="auto"/>
              <w:bottom w:val="nil"/>
              <w:right w:val="single" w:sz="8" w:space="0" w:color="auto"/>
            </w:tcBorders>
            <w:shd w:val="clear" w:color="000000" w:fill="FABF8F"/>
            <w:vAlign w:val="center"/>
            <w:hideMark/>
          </w:tcPr>
          <w:p w14:paraId="6D6B2BFC" w14:textId="77777777" w:rsidR="007D7C1F" w:rsidRPr="007D7C1F" w:rsidRDefault="007D7C1F" w:rsidP="007D7C1F">
            <w:pPr>
              <w:spacing w:after="0" w:line="240" w:lineRule="auto"/>
              <w:jc w:val="center"/>
              <w:rPr>
                <w:rFonts w:cs="Calibri"/>
                <w:b/>
                <w:bCs/>
                <w:i/>
                <w:iCs/>
                <w:sz w:val="24"/>
              </w:rPr>
            </w:pPr>
            <w:r w:rsidRPr="007D7C1F">
              <w:rPr>
                <w:rFonts w:cs="Calibri"/>
                <w:b/>
                <w:bCs/>
                <w:i/>
                <w:iCs/>
                <w:sz w:val="24"/>
              </w:rPr>
              <w:t>HP E24</w:t>
            </w:r>
          </w:p>
        </w:tc>
      </w:tr>
      <w:tr w:rsidR="007D7C1F" w:rsidRPr="007D7C1F" w14:paraId="370C61DD" w14:textId="77777777" w:rsidTr="007D7C1F">
        <w:trPr>
          <w:trHeight w:val="315"/>
        </w:trPr>
        <w:tc>
          <w:tcPr>
            <w:tcW w:w="3993" w:type="dxa"/>
            <w:gridSpan w:val="2"/>
            <w:tcBorders>
              <w:top w:val="single" w:sz="8" w:space="0" w:color="auto"/>
              <w:left w:val="single" w:sz="12" w:space="0" w:color="auto"/>
              <w:bottom w:val="nil"/>
              <w:right w:val="single" w:sz="8" w:space="0" w:color="000000"/>
            </w:tcBorders>
            <w:shd w:val="clear" w:color="000000" w:fill="FFFFFF"/>
            <w:hideMark/>
          </w:tcPr>
          <w:p w14:paraId="1E2622E7" w14:textId="77777777" w:rsidR="007D7C1F" w:rsidRPr="007D7C1F" w:rsidRDefault="007D7C1F" w:rsidP="007D7C1F">
            <w:pPr>
              <w:spacing w:after="0" w:line="240" w:lineRule="auto"/>
              <w:rPr>
                <w:rFonts w:cs="Calibri"/>
                <w:szCs w:val="22"/>
              </w:rPr>
            </w:pPr>
            <w:r w:rsidRPr="007D7C1F">
              <w:rPr>
                <w:rFonts w:cs="Calibri"/>
                <w:szCs w:val="22"/>
              </w:rPr>
              <w:t>Velikost úhlopříčky</w:t>
            </w:r>
          </w:p>
        </w:tc>
        <w:tc>
          <w:tcPr>
            <w:tcW w:w="1351" w:type="dxa"/>
            <w:tcBorders>
              <w:top w:val="single" w:sz="8" w:space="0" w:color="auto"/>
              <w:left w:val="nil"/>
              <w:bottom w:val="nil"/>
              <w:right w:val="nil"/>
            </w:tcBorders>
            <w:shd w:val="clear" w:color="000000" w:fill="FFFFFF"/>
            <w:hideMark/>
          </w:tcPr>
          <w:p w14:paraId="3815B343" w14:textId="77777777" w:rsidR="007D7C1F" w:rsidRPr="007D7C1F" w:rsidRDefault="007D7C1F" w:rsidP="007D7C1F">
            <w:pPr>
              <w:spacing w:after="0" w:line="240" w:lineRule="auto"/>
              <w:jc w:val="center"/>
              <w:rPr>
                <w:rFonts w:cs="Calibri"/>
                <w:szCs w:val="22"/>
              </w:rPr>
            </w:pPr>
            <w:r w:rsidRPr="007D7C1F">
              <w:rPr>
                <w:rFonts w:cs="Calibri"/>
                <w:szCs w:val="22"/>
              </w:rPr>
              <w:t>min.</w:t>
            </w:r>
          </w:p>
        </w:tc>
        <w:tc>
          <w:tcPr>
            <w:tcW w:w="3005" w:type="dxa"/>
            <w:tcBorders>
              <w:top w:val="single" w:sz="4" w:space="0" w:color="auto"/>
              <w:left w:val="double" w:sz="6" w:space="0" w:color="auto"/>
              <w:bottom w:val="nil"/>
              <w:right w:val="single" w:sz="8" w:space="0" w:color="auto"/>
            </w:tcBorders>
            <w:shd w:val="clear" w:color="auto" w:fill="auto"/>
            <w:hideMark/>
          </w:tcPr>
          <w:p w14:paraId="338AE5C9" w14:textId="77777777" w:rsidR="007D7C1F" w:rsidRPr="007D7C1F" w:rsidRDefault="007D7C1F" w:rsidP="007D7C1F">
            <w:pPr>
              <w:spacing w:after="0" w:line="240" w:lineRule="auto"/>
              <w:rPr>
                <w:rFonts w:cs="Calibri"/>
                <w:b/>
                <w:bCs/>
                <w:szCs w:val="22"/>
              </w:rPr>
            </w:pPr>
            <w:r w:rsidRPr="007D7C1F">
              <w:rPr>
                <w:rFonts w:cs="Calibri"/>
                <w:b/>
                <w:bCs/>
                <w:szCs w:val="22"/>
              </w:rPr>
              <w:t>23,8"</w:t>
            </w:r>
          </w:p>
        </w:tc>
        <w:tc>
          <w:tcPr>
            <w:tcW w:w="2693" w:type="dxa"/>
            <w:tcBorders>
              <w:top w:val="single" w:sz="4" w:space="0" w:color="auto"/>
              <w:left w:val="double" w:sz="6" w:space="0" w:color="auto"/>
              <w:bottom w:val="nil"/>
              <w:right w:val="single" w:sz="8" w:space="0" w:color="auto"/>
            </w:tcBorders>
            <w:shd w:val="clear" w:color="auto" w:fill="auto"/>
            <w:hideMark/>
          </w:tcPr>
          <w:p w14:paraId="729E1EB1" w14:textId="77777777" w:rsidR="007D7C1F" w:rsidRPr="007D7C1F" w:rsidRDefault="007D7C1F" w:rsidP="007D7C1F">
            <w:pPr>
              <w:spacing w:after="0" w:line="240" w:lineRule="auto"/>
              <w:rPr>
                <w:rFonts w:cs="Calibri"/>
                <w:b/>
                <w:bCs/>
                <w:szCs w:val="22"/>
              </w:rPr>
            </w:pPr>
            <w:r w:rsidRPr="007D7C1F">
              <w:rPr>
                <w:rFonts w:cs="Calibri"/>
                <w:b/>
                <w:bCs/>
                <w:szCs w:val="22"/>
              </w:rPr>
              <w:t>23,8"</w:t>
            </w:r>
          </w:p>
        </w:tc>
      </w:tr>
      <w:tr w:rsidR="007D7C1F" w:rsidRPr="007D7C1F" w14:paraId="5220DF16"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000000" w:fill="FFFFFF"/>
            <w:hideMark/>
          </w:tcPr>
          <w:p w14:paraId="711334F9" w14:textId="77777777" w:rsidR="007D7C1F" w:rsidRPr="007D7C1F" w:rsidRDefault="007D7C1F" w:rsidP="007D7C1F">
            <w:pPr>
              <w:spacing w:after="0" w:line="240" w:lineRule="auto"/>
              <w:rPr>
                <w:rFonts w:cs="Calibri"/>
                <w:szCs w:val="22"/>
              </w:rPr>
            </w:pPr>
            <w:r w:rsidRPr="007D7C1F">
              <w:rPr>
                <w:rFonts w:cs="Calibri"/>
                <w:szCs w:val="22"/>
              </w:rPr>
              <w:t>Technologie</w:t>
            </w:r>
          </w:p>
        </w:tc>
        <w:tc>
          <w:tcPr>
            <w:tcW w:w="1351" w:type="dxa"/>
            <w:tcBorders>
              <w:top w:val="single" w:sz="8" w:space="0" w:color="auto"/>
              <w:left w:val="nil"/>
              <w:bottom w:val="single" w:sz="8" w:space="0" w:color="auto"/>
              <w:right w:val="nil"/>
            </w:tcBorders>
            <w:shd w:val="clear" w:color="000000" w:fill="FFFFFF"/>
            <w:hideMark/>
          </w:tcPr>
          <w:p w14:paraId="08E41E8F"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3005" w:type="dxa"/>
            <w:tcBorders>
              <w:top w:val="single" w:sz="8" w:space="0" w:color="auto"/>
              <w:left w:val="double" w:sz="6" w:space="0" w:color="auto"/>
              <w:bottom w:val="single" w:sz="8" w:space="0" w:color="auto"/>
              <w:right w:val="single" w:sz="8" w:space="0" w:color="auto"/>
            </w:tcBorders>
            <w:shd w:val="clear" w:color="auto" w:fill="auto"/>
            <w:hideMark/>
          </w:tcPr>
          <w:p w14:paraId="32750F38" w14:textId="77777777" w:rsidR="007D7C1F" w:rsidRPr="007D7C1F" w:rsidRDefault="007D7C1F" w:rsidP="007D7C1F">
            <w:pPr>
              <w:spacing w:after="0" w:line="240" w:lineRule="auto"/>
              <w:rPr>
                <w:rFonts w:cs="Calibri"/>
                <w:szCs w:val="22"/>
              </w:rPr>
            </w:pPr>
            <w:r w:rsidRPr="007D7C1F">
              <w:rPr>
                <w:rFonts w:cs="Calibri"/>
                <w:szCs w:val="22"/>
              </w:rPr>
              <w:t>LCD barevný</w:t>
            </w:r>
          </w:p>
        </w:tc>
        <w:tc>
          <w:tcPr>
            <w:tcW w:w="2693" w:type="dxa"/>
            <w:tcBorders>
              <w:top w:val="single" w:sz="8" w:space="0" w:color="auto"/>
              <w:left w:val="double" w:sz="6" w:space="0" w:color="auto"/>
              <w:bottom w:val="single" w:sz="8" w:space="0" w:color="auto"/>
              <w:right w:val="single" w:sz="8" w:space="0" w:color="auto"/>
            </w:tcBorders>
            <w:shd w:val="clear" w:color="auto" w:fill="auto"/>
            <w:hideMark/>
          </w:tcPr>
          <w:p w14:paraId="4FD5A4D2" w14:textId="77777777" w:rsidR="007D7C1F" w:rsidRPr="007D7C1F" w:rsidRDefault="007D7C1F" w:rsidP="007D7C1F">
            <w:pPr>
              <w:spacing w:after="0" w:line="240" w:lineRule="auto"/>
              <w:rPr>
                <w:rFonts w:cs="Calibri"/>
                <w:szCs w:val="22"/>
              </w:rPr>
            </w:pPr>
            <w:r w:rsidRPr="007D7C1F">
              <w:rPr>
                <w:rFonts w:cs="Calibri"/>
                <w:szCs w:val="22"/>
              </w:rPr>
              <w:t>LCD barevný</w:t>
            </w:r>
          </w:p>
        </w:tc>
      </w:tr>
      <w:tr w:rsidR="007D7C1F" w:rsidRPr="007D7C1F" w14:paraId="44B86C17"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000000" w:fill="FFFFFF"/>
            <w:hideMark/>
          </w:tcPr>
          <w:p w14:paraId="521B1DD1" w14:textId="77777777" w:rsidR="007D7C1F" w:rsidRPr="007D7C1F" w:rsidRDefault="007D7C1F" w:rsidP="007D7C1F">
            <w:pPr>
              <w:spacing w:after="0" w:line="240" w:lineRule="auto"/>
              <w:rPr>
                <w:rFonts w:cs="Calibri"/>
                <w:szCs w:val="22"/>
              </w:rPr>
            </w:pPr>
            <w:r w:rsidRPr="007D7C1F">
              <w:rPr>
                <w:rFonts w:cs="Calibri"/>
                <w:szCs w:val="22"/>
              </w:rPr>
              <w:t>Pracovní rozlišení bodů (š x v)</w:t>
            </w:r>
          </w:p>
        </w:tc>
        <w:tc>
          <w:tcPr>
            <w:tcW w:w="1351" w:type="dxa"/>
            <w:tcBorders>
              <w:top w:val="nil"/>
              <w:left w:val="nil"/>
              <w:bottom w:val="single" w:sz="8" w:space="0" w:color="auto"/>
              <w:right w:val="nil"/>
            </w:tcBorders>
            <w:shd w:val="clear" w:color="000000" w:fill="FFFFFF"/>
            <w:hideMark/>
          </w:tcPr>
          <w:p w14:paraId="7553B80F" w14:textId="77777777" w:rsidR="007D7C1F" w:rsidRPr="007D7C1F" w:rsidRDefault="007D7C1F" w:rsidP="007D7C1F">
            <w:pPr>
              <w:spacing w:after="0" w:line="240" w:lineRule="auto"/>
              <w:jc w:val="center"/>
              <w:rPr>
                <w:rFonts w:cs="Calibri"/>
                <w:szCs w:val="22"/>
              </w:rPr>
            </w:pPr>
            <w:r w:rsidRPr="007D7C1F">
              <w:rPr>
                <w:rFonts w:cs="Calibri"/>
                <w:szCs w:val="22"/>
              </w:rPr>
              <w:t>min.</w:t>
            </w:r>
          </w:p>
        </w:tc>
        <w:tc>
          <w:tcPr>
            <w:tcW w:w="3005" w:type="dxa"/>
            <w:tcBorders>
              <w:top w:val="nil"/>
              <w:left w:val="double" w:sz="6" w:space="0" w:color="auto"/>
              <w:bottom w:val="single" w:sz="8" w:space="0" w:color="auto"/>
              <w:right w:val="single" w:sz="8" w:space="0" w:color="auto"/>
            </w:tcBorders>
            <w:shd w:val="clear" w:color="auto" w:fill="auto"/>
            <w:hideMark/>
          </w:tcPr>
          <w:p w14:paraId="27C90F30" w14:textId="77777777" w:rsidR="007D7C1F" w:rsidRPr="007D7C1F" w:rsidRDefault="007D7C1F" w:rsidP="007D7C1F">
            <w:pPr>
              <w:spacing w:after="0" w:line="240" w:lineRule="auto"/>
              <w:rPr>
                <w:rFonts w:cs="Calibri"/>
                <w:szCs w:val="22"/>
              </w:rPr>
            </w:pPr>
            <w:r w:rsidRPr="007D7C1F">
              <w:rPr>
                <w:rFonts w:cs="Calibri"/>
                <w:szCs w:val="22"/>
              </w:rPr>
              <w:t>1920 x 1080</w:t>
            </w:r>
          </w:p>
        </w:tc>
        <w:tc>
          <w:tcPr>
            <w:tcW w:w="2693" w:type="dxa"/>
            <w:tcBorders>
              <w:top w:val="nil"/>
              <w:left w:val="double" w:sz="6" w:space="0" w:color="auto"/>
              <w:bottom w:val="single" w:sz="8" w:space="0" w:color="auto"/>
              <w:right w:val="single" w:sz="8" w:space="0" w:color="auto"/>
            </w:tcBorders>
            <w:shd w:val="clear" w:color="auto" w:fill="auto"/>
            <w:hideMark/>
          </w:tcPr>
          <w:p w14:paraId="6758621A" w14:textId="77777777" w:rsidR="007D7C1F" w:rsidRPr="007D7C1F" w:rsidRDefault="007D7C1F" w:rsidP="007D7C1F">
            <w:pPr>
              <w:spacing w:after="0" w:line="240" w:lineRule="auto"/>
              <w:rPr>
                <w:rFonts w:cs="Calibri"/>
                <w:szCs w:val="22"/>
              </w:rPr>
            </w:pPr>
            <w:r w:rsidRPr="007D7C1F">
              <w:rPr>
                <w:rFonts w:cs="Calibri"/>
                <w:szCs w:val="22"/>
              </w:rPr>
              <w:t>1920 x 1080</w:t>
            </w:r>
          </w:p>
        </w:tc>
      </w:tr>
      <w:tr w:rsidR="007D7C1F" w:rsidRPr="007D7C1F" w14:paraId="1279D342"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000000" w:fill="FFFFFF"/>
            <w:hideMark/>
          </w:tcPr>
          <w:p w14:paraId="721796BA" w14:textId="77777777" w:rsidR="007D7C1F" w:rsidRPr="007D7C1F" w:rsidRDefault="007D7C1F" w:rsidP="007D7C1F">
            <w:pPr>
              <w:spacing w:after="0" w:line="240" w:lineRule="auto"/>
              <w:rPr>
                <w:rFonts w:cs="Calibri"/>
                <w:szCs w:val="22"/>
              </w:rPr>
            </w:pPr>
            <w:r w:rsidRPr="007D7C1F">
              <w:rPr>
                <w:rFonts w:cs="Calibri"/>
                <w:szCs w:val="22"/>
              </w:rPr>
              <w:t>Povrh displeje</w:t>
            </w:r>
          </w:p>
        </w:tc>
        <w:tc>
          <w:tcPr>
            <w:tcW w:w="1351" w:type="dxa"/>
            <w:tcBorders>
              <w:top w:val="nil"/>
              <w:left w:val="nil"/>
              <w:bottom w:val="single" w:sz="8" w:space="0" w:color="auto"/>
              <w:right w:val="nil"/>
            </w:tcBorders>
            <w:shd w:val="clear" w:color="000000" w:fill="FFFFFF"/>
            <w:hideMark/>
          </w:tcPr>
          <w:p w14:paraId="0DFE5EC0"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3005" w:type="dxa"/>
            <w:tcBorders>
              <w:top w:val="nil"/>
              <w:left w:val="double" w:sz="6" w:space="0" w:color="auto"/>
              <w:bottom w:val="single" w:sz="8" w:space="0" w:color="auto"/>
              <w:right w:val="single" w:sz="8" w:space="0" w:color="auto"/>
            </w:tcBorders>
            <w:shd w:val="clear" w:color="auto" w:fill="auto"/>
            <w:hideMark/>
          </w:tcPr>
          <w:p w14:paraId="7285A4EB" w14:textId="77777777" w:rsidR="007D7C1F" w:rsidRPr="007D7C1F" w:rsidRDefault="007D7C1F" w:rsidP="007D7C1F">
            <w:pPr>
              <w:spacing w:after="0" w:line="240" w:lineRule="auto"/>
              <w:rPr>
                <w:rFonts w:cs="Calibri"/>
                <w:szCs w:val="22"/>
              </w:rPr>
            </w:pPr>
            <w:r w:rsidRPr="007D7C1F">
              <w:rPr>
                <w:rFonts w:cs="Calibri"/>
                <w:szCs w:val="22"/>
              </w:rPr>
              <w:t>matný</w:t>
            </w:r>
          </w:p>
        </w:tc>
        <w:tc>
          <w:tcPr>
            <w:tcW w:w="2693" w:type="dxa"/>
            <w:tcBorders>
              <w:top w:val="nil"/>
              <w:left w:val="double" w:sz="6" w:space="0" w:color="auto"/>
              <w:bottom w:val="single" w:sz="8" w:space="0" w:color="auto"/>
              <w:right w:val="single" w:sz="8" w:space="0" w:color="auto"/>
            </w:tcBorders>
            <w:shd w:val="clear" w:color="auto" w:fill="auto"/>
            <w:hideMark/>
          </w:tcPr>
          <w:p w14:paraId="0C14BBEB" w14:textId="77777777" w:rsidR="007D7C1F" w:rsidRPr="007D7C1F" w:rsidRDefault="007D7C1F" w:rsidP="007D7C1F">
            <w:pPr>
              <w:spacing w:after="0" w:line="240" w:lineRule="auto"/>
              <w:rPr>
                <w:rFonts w:cs="Calibri"/>
                <w:szCs w:val="22"/>
              </w:rPr>
            </w:pPr>
            <w:r w:rsidRPr="007D7C1F">
              <w:rPr>
                <w:rFonts w:cs="Calibri"/>
                <w:szCs w:val="22"/>
              </w:rPr>
              <w:t>matný</w:t>
            </w:r>
          </w:p>
        </w:tc>
      </w:tr>
      <w:tr w:rsidR="007D7C1F" w:rsidRPr="007D7C1F" w14:paraId="455770CA" w14:textId="77777777" w:rsidTr="007D7C1F">
        <w:trPr>
          <w:trHeight w:val="315"/>
        </w:trPr>
        <w:tc>
          <w:tcPr>
            <w:tcW w:w="1776" w:type="dxa"/>
            <w:tcBorders>
              <w:top w:val="nil"/>
              <w:left w:val="single" w:sz="12" w:space="0" w:color="auto"/>
              <w:bottom w:val="single" w:sz="8" w:space="0" w:color="auto"/>
              <w:right w:val="nil"/>
            </w:tcBorders>
            <w:shd w:val="clear" w:color="000000" w:fill="FFFFFF"/>
            <w:hideMark/>
          </w:tcPr>
          <w:p w14:paraId="66AA36E2" w14:textId="77777777" w:rsidR="007D7C1F" w:rsidRPr="007D7C1F" w:rsidRDefault="007D7C1F" w:rsidP="007D7C1F">
            <w:pPr>
              <w:spacing w:after="0" w:line="240" w:lineRule="auto"/>
              <w:rPr>
                <w:rFonts w:cs="Calibri"/>
                <w:szCs w:val="22"/>
              </w:rPr>
            </w:pPr>
            <w:r w:rsidRPr="007D7C1F">
              <w:rPr>
                <w:rFonts w:cs="Calibri"/>
                <w:szCs w:val="22"/>
              </w:rPr>
              <w:t>Podsvícení LED</w:t>
            </w:r>
          </w:p>
        </w:tc>
        <w:tc>
          <w:tcPr>
            <w:tcW w:w="2217" w:type="dxa"/>
            <w:tcBorders>
              <w:top w:val="nil"/>
              <w:left w:val="nil"/>
              <w:bottom w:val="single" w:sz="8" w:space="0" w:color="auto"/>
              <w:right w:val="single" w:sz="8" w:space="0" w:color="auto"/>
            </w:tcBorders>
            <w:shd w:val="clear" w:color="000000" w:fill="FFFFFF"/>
            <w:hideMark/>
          </w:tcPr>
          <w:p w14:paraId="2B0866E0" w14:textId="77777777" w:rsidR="007D7C1F" w:rsidRPr="007D7C1F" w:rsidRDefault="007D7C1F" w:rsidP="007D7C1F">
            <w:pPr>
              <w:spacing w:after="0" w:line="240" w:lineRule="auto"/>
              <w:rPr>
                <w:rFonts w:cs="Calibri"/>
                <w:szCs w:val="22"/>
              </w:rPr>
            </w:pPr>
            <w:r w:rsidRPr="007D7C1F">
              <w:rPr>
                <w:rFonts w:cs="Calibri"/>
                <w:szCs w:val="22"/>
              </w:rPr>
              <w:t> </w:t>
            </w:r>
          </w:p>
        </w:tc>
        <w:tc>
          <w:tcPr>
            <w:tcW w:w="1351" w:type="dxa"/>
            <w:tcBorders>
              <w:top w:val="nil"/>
              <w:left w:val="nil"/>
              <w:bottom w:val="single" w:sz="8" w:space="0" w:color="auto"/>
              <w:right w:val="nil"/>
            </w:tcBorders>
            <w:shd w:val="clear" w:color="000000" w:fill="FFFFFF"/>
            <w:hideMark/>
          </w:tcPr>
          <w:p w14:paraId="7C5F72FE"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3005" w:type="dxa"/>
            <w:tcBorders>
              <w:top w:val="nil"/>
              <w:left w:val="double" w:sz="6" w:space="0" w:color="auto"/>
              <w:bottom w:val="single" w:sz="8" w:space="0" w:color="auto"/>
              <w:right w:val="nil"/>
            </w:tcBorders>
            <w:shd w:val="clear" w:color="auto" w:fill="auto"/>
            <w:hideMark/>
          </w:tcPr>
          <w:p w14:paraId="74CB6F62" w14:textId="77777777" w:rsidR="007D7C1F" w:rsidRPr="007D7C1F" w:rsidRDefault="007D7C1F" w:rsidP="007D7C1F">
            <w:pPr>
              <w:spacing w:after="0" w:line="240" w:lineRule="auto"/>
              <w:rPr>
                <w:rFonts w:cs="Calibri"/>
                <w:szCs w:val="22"/>
              </w:rPr>
            </w:pPr>
            <w:r w:rsidRPr="007D7C1F">
              <w:rPr>
                <w:rFonts w:cs="Calibri"/>
                <w:szCs w:val="22"/>
              </w:rPr>
              <w:t>ano</w:t>
            </w:r>
          </w:p>
        </w:tc>
        <w:tc>
          <w:tcPr>
            <w:tcW w:w="2693" w:type="dxa"/>
            <w:tcBorders>
              <w:top w:val="nil"/>
              <w:left w:val="double" w:sz="6" w:space="0" w:color="auto"/>
              <w:bottom w:val="single" w:sz="8" w:space="0" w:color="auto"/>
              <w:right w:val="nil"/>
            </w:tcBorders>
            <w:shd w:val="clear" w:color="auto" w:fill="auto"/>
            <w:hideMark/>
          </w:tcPr>
          <w:p w14:paraId="3B7CFF35" w14:textId="77777777" w:rsidR="007D7C1F" w:rsidRPr="007D7C1F" w:rsidRDefault="007D7C1F" w:rsidP="007D7C1F">
            <w:pPr>
              <w:spacing w:after="0" w:line="240" w:lineRule="auto"/>
              <w:rPr>
                <w:rFonts w:cs="Calibri"/>
                <w:szCs w:val="22"/>
              </w:rPr>
            </w:pPr>
            <w:r w:rsidRPr="007D7C1F">
              <w:rPr>
                <w:rFonts w:cs="Calibri"/>
                <w:szCs w:val="22"/>
              </w:rPr>
              <w:t>ano</w:t>
            </w:r>
          </w:p>
        </w:tc>
      </w:tr>
      <w:tr w:rsidR="007D7C1F" w:rsidRPr="007D7C1F" w14:paraId="5ED7E9DB"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000000" w:fill="FFFFFF"/>
            <w:hideMark/>
          </w:tcPr>
          <w:p w14:paraId="468EDBBC" w14:textId="77777777" w:rsidR="007D7C1F" w:rsidRPr="007D7C1F" w:rsidRDefault="007D7C1F" w:rsidP="007D7C1F">
            <w:pPr>
              <w:spacing w:after="0" w:line="240" w:lineRule="auto"/>
              <w:rPr>
                <w:rFonts w:cs="Calibri"/>
                <w:szCs w:val="22"/>
              </w:rPr>
            </w:pPr>
            <w:r w:rsidRPr="007D7C1F">
              <w:rPr>
                <w:rFonts w:cs="Calibri"/>
                <w:szCs w:val="22"/>
              </w:rPr>
              <w:t>Jas [cd/m2]</w:t>
            </w:r>
          </w:p>
        </w:tc>
        <w:tc>
          <w:tcPr>
            <w:tcW w:w="1351" w:type="dxa"/>
            <w:tcBorders>
              <w:top w:val="nil"/>
              <w:left w:val="nil"/>
              <w:bottom w:val="single" w:sz="8" w:space="0" w:color="auto"/>
              <w:right w:val="nil"/>
            </w:tcBorders>
            <w:shd w:val="clear" w:color="000000" w:fill="FFFFFF"/>
            <w:hideMark/>
          </w:tcPr>
          <w:p w14:paraId="719099C7" w14:textId="77777777" w:rsidR="007D7C1F" w:rsidRPr="007D7C1F" w:rsidRDefault="007D7C1F" w:rsidP="007D7C1F">
            <w:pPr>
              <w:spacing w:after="0" w:line="240" w:lineRule="auto"/>
              <w:jc w:val="center"/>
              <w:rPr>
                <w:rFonts w:cs="Calibri"/>
                <w:szCs w:val="22"/>
              </w:rPr>
            </w:pPr>
            <w:r w:rsidRPr="007D7C1F">
              <w:rPr>
                <w:rFonts w:cs="Calibri"/>
                <w:szCs w:val="22"/>
              </w:rPr>
              <w:t>min.</w:t>
            </w:r>
          </w:p>
        </w:tc>
        <w:tc>
          <w:tcPr>
            <w:tcW w:w="3005" w:type="dxa"/>
            <w:tcBorders>
              <w:top w:val="nil"/>
              <w:left w:val="double" w:sz="6" w:space="0" w:color="auto"/>
              <w:bottom w:val="single" w:sz="8" w:space="0" w:color="auto"/>
              <w:right w:val="single" w:sz="8" w:space="0" w:color="auto"/>
            </w:tcBorders>
            <w:shd w:val="clear" w:color="auto" w:fill="auto"/>
            <w:hideMark/>
          </w:tcPr>
          <w:p w14:paraId="5368695E" w14:textId="77777777" w:rsidR="007D7C1F" w:rsidRPr="007D7C1F" w:rsidRDefault="007D7C1F" w:rsidP="007D7C1F">
            <w:pPr>
              <w:spacing w:after="0" w:line="240" w:lineRule="auto"/>
              <w:rPr>
                <w:rFonts w:cs="Calibri"/>
                <w:szCs w:val="22"/>
              </w:rPr>
            </w:pPr>
            <w:r w:rsidRPr="007D7C1F">
              <w:rPr>
                <w:rFonts w:cs="Calibri"/>
                <w:szCs w:val="22"/>
              </w:rPr>
              <w:t>250</w:t>
            </w:r>
          </w:p>
        </w:tc>
        <w:tc>
          <w:tcPr>
            <w:tcW w:w="2693" w:type="dxa"/>
            <w:tcBorders>
              <w:top w:val="nil"/>
              <w:left w:val="double" w:sz="6" w:space="0" w:color="auto"/>
              <w:bottom w:val="single" w:sz="8" w:space="0" w:color="auto"/>
              <w:right w:val="single" w:sz="8" w:space="0" w:color="auto"/>
            </w:tcBorders>
            <w:shd w:val="clear" w:color="auto" w:fill="auto"/>
            <w:hideMark/>
          </w:tcPr>
          <w:p w14:paraId="679F2193" w14:textId="77777777" w:rsidR="007D7C1F" w:rsidRPr="007D7C1F" w:rsidRDefault="007D7C1F" w:rsidP="007D7C1F">
            <w:pPr>
              <w:spacing w:after="0" w:line="240" w:lineRule="auto"/>
              <w:rPr>
                <w:rFonts w:cs="Calibri"/>
                <w:szCs w:val="22"/>
              </w:rPr>
            </w:pPr>
            <w:r w:rsidRPr="007D7C1F">
              <w:rPr>
                <w:rFonts w:cs="Calibri"/>
                <w:szCs w:val="22"/>
              </w:rPr>
              <w:t>250</w:t>
            </w:r>
          </w:p>
        </w:tc>
      </w:tr>
      <w:tr w:rsidR="007D7C1F" w:rsidRPr="007D7C1F" w14:paraId="547B9EC5"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000000" w:fill="FFFFFF"/>
            <w:hideMark/>
          </w:tcPr>
          <w:p w14:paraId="1C334E27" w14:textId="77777777" w:rsidR="007D7C1F" w:rsidRPr="007D7C1F" w:rsidRDefault="007D7C1F" w:rsidP="007D7C1F">
            <w:pPr>
              <w:spacing w:after="0" w:line="240" w:lineRule="auto"/>
              <w:rPr>
                <w:rFonts w:cs="Calibri"/>
                <w:szCs w:val="22"/>
              </w:rPr>
            </w:pPr>
            <w:r w:rsidRPr="007D7C1F">
              <w:rPr>
                <w:rFonts w:cs="Calibri"/>
                <w:szCs w:val="22"/>
              </w:rPr>
              <w:t>Kontrastní poměr (typický)</w:t>
            </w:r>
          </w:p>
        </w:tc>
        <w:tc>
          <w:tcPr>
            <w:tcW w:w="1351" w:type="dxa"/>
            <w:tcBorders>
              <w:top w:val="nil"/>
              <w:left w:val="nil"/>
              <w:bottom w:val="single" w:sz="8" w:space="0" w:color="auto"/>
              <w:right w:val="nil"/>
            </w:tcBorders>
            <w:shd w:val="clear" w:color="000000" w:fill="FFFFFF"/>
            <w:hideMark/>
          </w:tcPr>
          <w:p w14:paraId="7749EE9A" w14:textId="77777777" w:rsidR="007D7C1F" w:rsidRPr="007D7C1F" w:rsidRDefault="007D7C1F" w:rsidP="007D7C1F">
            <w:pPr>
              <w:spacing w:after="0" w:line="240" w:lineRule="auto"/>
              <w:jc w:val="center"/>
              <w:rPr>
                <w:rFonts w:cs="Calibri"/>
                <w:szCs w:val="22"/>
              </w:rPr>
            </w:pPr>
            <w:r w:rsidRPr="007D7C1F">
              <w:rPr>
                <w:rFonts w:cs="Calibri"/>
                <w:szCs w:val="22"/>
              </w:rPr>
              <w:t>min.</w:t>
            </w:r>
          </w:p>
        </w:tc>
        <w:tc>
          <w:tcPr>
            <w:tcW w:w="3005" w:type="dxa"/>
            <w:tcBorders>
              <w:top w:val="nil"/>
              <w:left w:val="double" w:sz="6" w:space="0" w:color="auto"/>
              <w:bottom w:val="single" w:sz="8" w:space="0" w:color="auto"/>
              <w:right w:val="single" w:sz="8" w:space="0" w:color="auto"/>
            </w:tcBorders>
            <w:shd w:val="clear" w:color="auto" w:fill="auto"/>
            <w:hideMark/>
          </w:tcPr>
          <w:p w14:paraId="6A53923D" w14:textId="77777777" w:rsidR="007D7C1F" w:rsidRPr="007D7C1F" w:rsidRDefault="007D7C1F" w:rsidP="007D7C1F">
            <w:pPr>
              <w:spacing w:after="0" w:line="240" w:lineRule="auto"/>
              <w:rPr>
                <w:rFonts w:cs="Calibri"/>
                <w:szCs w:val="22"/>
              </w:rPr>
            </w:pPr>
            <w:r w:rsidRPr="007D7C1F">
              <w:rPr>
                <w:rFonts w:cs="Calibri"/>
                <w:szCs w:val="22"/>
              </w:rPr>
              <w:t>1000:1</w:t>
            </w:r>
          </w:p>
        </w:tc>
        <w:tc>
          <w:tcPr>
            <w:tcW w:w="2693" w:type="dxa"/>
            <w:tcBorders>
              <w:top w:val="nil"/>
              <w:left w:val="double" w:sz="6" w:space="0" w:color="auto"/>
              <w:bottom w:val="single" w:sz="8" w:space="0" w:color="auto"/>
              <w:right w:val="single" w:sz="8" w:space="0" w:color="auto"/>
            </w:tcBorders>
            <w:shd w:val="clear" w:color="auto" w:fill="auto"/>
            <w:hideMark/>
          </w:tcPr>
          <w:p w14:paraId="231E1796" w14:textId="77777777" w:rsidR="007D7C1F" w:rsidRPr="007D7C1F" w:rsidRDefault="007D7C1F" w:rsidP="007D7C1F">
            <w:pPr>
              <w:spacing w:after="0" w:line="240" w:lineRule="auto"/>
              <w:rPr>
                <w:rFonts w:cs="Calibri"/>
                <w:szCs w:val="22"/>
              </w:rPr>
            </w:pPr>
            <w:r w:rsidRPr="007D7C1F">
              <w:rPr>
                <w:rFonts w:cs="Calibri"/>
                <w:szCs w:val="22"/>
              </w:rPr>
              <w:t>1000:1</w:t>
            </w:r>
          </w:p>
        </w:tc>
      </w:tr>
      <w:tr w:rsidR="007D7C1F" w:rsidRPr="007D7C1F" w14:paraId="291DF060"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000000" w:fill="FFFFFF"/>
            <w:hideMark/>
          </w:tcPr>
          <w:p w14:paraId="2586DE22" w14:textId="77777777" w:rsidR="007D7C1F" w:rsidRPr="007D7C1F" w:rsidRDefault="007D7C1F" w:rsidP="007D7C1F">
            <w:pPr>
              <w:spacing w:after="0" w:line="240" w:lineRule="auto"/>
              <w:rPr>
                <w:rFonts w:cs="Calibri"/>
                <w:szCs w:val="22"/>
              </w:rPr>
            </w:pPr>
            <w:r w:rsidRPr="007D7C1F">
              <w:rPr>
                <w:rFonts w:cs="Calibri"/>
                <w:szCs w:val="22"/>
              </w:rPr>
              <w:t>Redukce (filtr) modrého světla</w:t>
            </w:r>
          </w:p>
        </w:tc>
        <w:tc>
          <w:tcPr>
            <w:tcW w:w="1351" w:type="dxa"/>
            <w:tcBorders>
              <w:top w:val="nil"/>
              <w:left w:val="nil"/>
              <w:bottom w:val="single" w:sz="8" w:space="0" w:color="auto"/>
              <w:right w:val="nil"/>
            </w:tcBorders>
            <w:shd w:val="clear" w:color="000000" w:fill="FFFFFF"/>
            <w:hideMark/>
          </w:tcPr>
          <w:p w14:paraId="42048DC7"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3005" w:type="dxa"/>
            <w:tcBorders>
              <w:top w:val="nil"/>
              <w:left w:val="double" w:sz="6" w:space="0" w:color="auto"/>
              <w:bottom w:val="single" w:sz="8" w:space="0" w:color="auto"/>
              <w:right w:val="single" w:sz="8" w:space="0" w:color="auto"/>
            </w:tcBorders>
            <w:shd w:val="clear" w:color="auto" w:fill="auto"/>
            <w:hideMark/>
          </w:tcPr>
          <w:p w14:paraId="43BFD373" w14:textId="77777777" w:rsidR="007D7C1F" w:rsidRPr="007D7C1F" w:rsidRDefault="007D7C1F" w:rsidP="007D7C1F">
            <w:pPr>
              <w:spacing w:after="0" w:line="240" w:lineRule="auto"/>
              <w:rPr>
                <w:rFonts w:cs="Calibri"/>
                <w:szCs w:val="22"/>
              </w:rPr>
            </w:pPr>
            <w:r w:rsidRPr="007D7C1F">
              <w:rPr>
                <w:rFonts w:cs="Calibri"/>
                <w:szCs w:val="22"/>
              </w:rPr>
              <w:t>ano</w:t>
            </w:r>
          </w:p>
        </w:tc>
        <w:tc>
          <w:tcPr>
            <w:tcW w:w="2693" w:type="dxa"/>
            <w:tcBorders>
              <w:top w:val="nil"/>
              <w:left w:val="double" w:sz="6" w:space="0" w:color="auto"/>
              <w:bottom w:val="single" w:sz="8" w:space="0" w:color="auto"/>
              <w:right w:val="single" w:sz="8" w:space="0" w:color="auto"/>
            </w:tcBorders>
            <w:shd w:val="clear" w:color="auto" w:fill="auto"/>
            <w:hideMark/>
          </w:tcPr>
          <w:p w14:paraId="311FB98C" w14:textId="77777777" w:rsidR="007D7C1F" w:rsidRPr="007D7C1F" w:rsidRDefault="007D7C1F" w:rsidP="007D7C1F">
            <w:pPr>
              <w:spacing w:after="0" w:line="240" w:lineRule="auto"/>
              <w:rPr>
                <w:rFonts w:cs="Calibri"/>
                <w:szCs w:val="22"/>
              </w:rPr>
            </w:pPr>
            <w:r w:rsidRPr="007D7C1F">
              <w:rPr>
                <w:rFonts w:cs="Calibri"/>
                <w:szCs w:val="22"/>
              </w:rPr>
              <w:t>ano</w:t>
            </w:r>
          </w:p>
        </w:tc>
      </w:tr>
      <w:tr w:rsidR="007D7C1F" w:rsidRPr="007D7C1F" w14:paraId="5F39571A"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auto" w:fill="auto"/>
            <w:hideMark/>
          </w:tcPr>
          <w:p w14:paraId="7C9B5568" w14:textId="77777777" w:rsidR="007D7C1F" w:rsidRPr="007D7C1F" w:rsidRDefault="007D7C1F" w:rsidP="007D7C1F">
            <w:pPr>
              <w:spacing w:after="0" w:line="240" w:lineRule="auto"/>
              <w:rPr>
                <w:rFonts w:cs="Calibri"/>
                <w:szCs w:val="22"/>
              </w:rPr>
            </w:pPr>
            <w:r w:rsidRPr="007D7C1F">
              <w:rPr>
                <w:rFonts w:cs="Calibri"/>
                <w:szCs w:val="22"/>
              </w:rPr>
              <w:t>Pozorovací úhel (h x v)</w:t>
            </w:r>
          </w:p>
        </w:tc>
        <w:tc>
          <w:tcPr>
            <w:tcW w:w="1351" w:type="dxa"/>
            <w:tcBorders>
              <w:top w:val="nil"/>
              <w:left w:val="nil"/>
              <w:bottom w:val="single" w:sz="8" w:space="0" w:color="auto"/>
              <w:right w:val="nil"/>
            </w:tcBorders>
            <w:shd w:val="clear" w:color="000000" w:fill="FFFFFF"/>
            <w:hideMark/>
          </w:tcPr>
          <w:p w14:paraId="6E28825F" w14:textId="77777777" w:rsidR="007D7C1F" w:rsidRPr="007D7C1F" w:rsidRDefault="007D7C1F" w:rsidP="007D7C1F">
            <w:pPr>
              <w:spacing w:after="0" w:line="240" w:lineRule="auto"/>
              <w:jc w:val="center"/>
              <w:rPr>
                <w:rFonts w:cs="Calibri"/>
                <w:szCs w:val="22"/>
              </w:rPr>
            </w:pPr>
            <w:r w:rsidRPr="007D7C1F">
              <w:rPr>
                <w:rFonts w:cs="Calibri"/>
                <w:szCs w:val="22"/>
              </w:rPr>
              <w:t>min.</w:t>
            </w:r>
          </w:p>
        </w:tc>
        <w:tc>
          <w:tcPr>
            <w:tcW w:w="3005" w:type="dxa"/>
            <w:tcBorders>
              <w:top w:val="nil"/>
              <w:left w:val="double" w:sz="6" w:space="0" w:color="auto"/>
              <w:bottom w:val="single" w:sz="8" w:space="0" w:color="auto"/>
              <w:right w:val="single" w:sz="8" w:space="0" w:color="auto"/>
            </w:tcBorders>
            <w:shd w:val="clear" w:color="auto" w:fill="auto"/>
            <w:hideMark/>
          </w:tcPr>
          <w:p w14:paraId="231E5FA3" w14:textId="77777777" w:rsidR="007D7C1F" w:rsidRPr="007D7C1F" w:rsidRDefault="007D7C1F" w:rsidP="007D7C1F">
            <w:pPr>
              <w:spacing w:after="0" w:line="240" w:lineRule="auto"/>
              <w:rPr>
                <w:rFonts w:cs="Calibri"/>
                <w:szCs w:val="22"/>
              </w:rPr>
            </w:pPr>
            <w:r w:rsidRPr="007D7C1F">
              <w:rPr>
                <w:rFonts w:cs="Calibri"/>
                <w:szCs w:val="22"/>
              </w:rPr>
              <w:t>178°x178°</w:t>
            </w:r>
          </w:p>
        </w:tc>
        <w:tc>
          <w:tcPr>
            <w:tcW w:w="2693" w:type="dxa"/>
            <w:tcBorders>
              <w:top w:val="nil"/>
              <w:left w:val="double" w:sz="6" w:space="0" w:color="auto"/>
              <w:bottom w:val="single" w:sz="8" w:space="0" w:color="auto"/>
              <w:right w:val="single" w:sz="8" w:space="0" w:color="auto"/>
            </w:tcBorders>
            <w:shd w:val="clear" w:color="auto" w:fill="auto"/>
            <w:hideMark/>
          </w:tcPr>
          <w:p w14:paraId="5F47C40F" w14:textId="77777777" w:rsidR="007D7C1F" w:rsidRPr="007D7C1F" w:rsidRDefault="007D7C1F" w:rsidP="007D7C1F">
            <w:pPr>
              <w:spacing w:after="0" w:line="240" w:lineRule="auto"/>
              <w:rPr>
                <w:rFonts w:cs="Calibri"/>
                <w:szCs w:val="22"/>
              </w:rPr>
            </w:pPr>
            <w:r w:rsidRPr="007D7C1F">
              <w:rPr>
                <w:rFonts w:cs="Calibri"/>
                <w:szCs w:val="22"/>
              </w:rPr>
              <w:t>178°x178°</w:t>
            </w:r>
          </w:p>
        </w:tc>
      </w:tr>
      <w:tr w:rsidR="007D7C1F" w:rsidRPr="007D7C1F" w14:paraId="78CDF720"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auto" w:fill="auto"/>
            <w:hideMark/>
          </w:tcPr>
          <w:p w14:paraId="35CF709D" w14:textId="77777777" w:rsidR="007D7C1F" w:rsidRPr="007D7C1F" w:rsidRDefault="007D7C1F" w:rsidP="007D7C1F">
            <w:pPr>
              <w:spacing w:after="0" w:line="240" w:lineRule="auto"/>
              <w:rPr>
                <w:rFonts w:cs="Calibri"/>
                <w:szCs w:val="22"/>
              </w:rPr>
            </w:pPr>
            <w:r w:rsidRPr="007D7C1F">
              <w:rPr>
                <w:rFonts w:cs="Calibri"/>
                <w:szCs w:val="22"/>
              </w:rPr>
              <w:t>Doba odezvy</w:t>
            </w:r>
          </w:p>
        </w:tc>
        <w:tc>
          <w:tcPr>
            <w:tcW w:w="1351" w:type="dxa"/>
            <w:tcBorders>
              <w:top w:val="nil"/>
              <w:left w:val="nil"/>
              <w:bottom w:val="single" w:sz="8" w:space="0" w:color="auto"/>
              <w:right w:val="nil"/>
            </w:tcBorders>
            <w:shd w:val="clear" w:color="000000" w:fill="FFFFFF"/>
            <w:hideMark/>
          </w:tcPr>
          <w:p w14:paraId="72200DA6" w14:textId="77777777" w:rsidR="007D7C1F" w:rsidRPr="007D7C1F" w:rsidRDefault="007D7C1F" w:rsidP="007D7C1F">
            <w:pPr>
              <w:spacing w:after="0" w:line="240" w:lineRule="auto"/>
              <w:jc w:val="center"/>
              <w:rPr>
                <w:rFonts w:cs="Calibri"/>
                <w:szCs w:val="22"/>
              </w:rPr>
            </w:pPr>
            <w:r w:rsidRPr="007D7C1F">
              <w:rPr>
                <w:rFonts w:cs="Calibri"/>
                <w:szCs w:val="22"/>
              </w:rPr>
              <w:t>max.</w:t>
            </w:r>
          </w:p>
        </w:tc>
        <w:tc>
          <w:tcPr>
            <w:tcW w:w="3005" w:type="dxa"/>
            <w:tcBorders>
              <w:top w:val="nil"/>
              <w:left w:val="double" w:sz="6" w:space="0" w:color="auto"/>
              <w:bottom w:val="single" w:sz="8" w:space="0" w:color="auto"/>
              <w:right w:val="single" w:sz="8" w:space="0" w:color="auto"/>
            </w:tcBorders>
            <w:shd w:val="clear" w:color="auto" w:fill="auto"/>
            <w:hideMark/>
          </w:tcPr>
          <w:p w14:paraId="52B8989B" w14:textId="77777777" w:rsidR="007D7C1F" w:rsidRPr="007D7C1F" w:rsidRDefault="007D7C1F" w:rsidP="007D7C1F">
            <w:pPr>
              <w:spacing w:after="0" w:line="240" w:lineRule="auto"/>
              <w:rPr>
                <w:rFonts w:cs="Calibri"/>
                <w:szCs w:val="22"/>
              </w:rPr>
            </w:pPr>
            <w:r w:rsidRPr="007D7C1F">
              <w:rPr>
                <w:rFonts w:cs="Calibri"/>
                <w:szCs w:val="22"/>
              </w:rPr>
              <w:t>8 ms</w:t>
            </w:r>
          </w:p>
        </w:tc>
        <w:tc>
          <w:tcPr>
            <w:tcW w:w="2693" w:type="dxa"/>
            <w:tcBorders>
              <w:top w:val="nil"/>
              <w:left w:val="double" w:sz="6" w:space="0" w:color="auto"/>
              <w:bottom w:val="single" w:sz="8" w:space="0" w:color="auto"/>
              <w:right w:val="single" w:sz="8" w:space="0" w:color="auto"/>
            </w:tcBorders>
            <w:shd w:val="clear" w:color="auto" w:fill="auto"/>
            <w:hideMark/>
          </w:tcPr>
          <w:p w14:paraId="0EC36387" w14:textId="77777777" w:rsidR="007D7C1F" w:rsidRPr="007D7C1F" w:rsidRDefault="007D7C1F" w:rsidP="007D7C1F">
            <w:pPr>
              <w:spacing w:after="0" w:line="240" w:lineRule="auto"/>
              <w:rPr>
                <w:rFonts w:cs="Calibri"/>
                <w:szCs w:val="22"/>
              </w:rPr>
            </w:pPr>
            <w:r w:rsidRPr="007D7C1F">
              <w:rPr>
                <w:rFonts w:cs="Calibri"/>
                <w:szCs w:val="22"/>
              </w:rPr>
              <w:t>5 ms</w:t>
            </w:r>
          </w:p>
        </w:tc>
      </w:tr>
      <w:tr w:rsidR="007D7C1F" w:rsidRPr="007D7C1F" w14:paraId="7F339DC4" w14:textId="77777777" w:rsidTr="007D7C1F">
        <w:trPr>
          <w:trHeight w:val="315"/>
        </w:trPr>
        <w:tc>
          <w:tcPr>
            <w:tcW w:w="1776" w:type="dxa"/>
            <w:vMerge w:val="restart"/>
            <w:tcBorders>
              <w:top w:val="nil"/>
              <w:left w:val="single" w:sz="12" w:space="0" w:color="auto"/>
              <w:bottom w:val="single" w:sz="8" w:space="0" w:color="000000"/>
              <w:right w:val="nil"/>
            </w:tcBorders>
            <w:shd w:val="clear" w:color="auto" w:fill="auto"/>
            <w:vAlign w:val="center"/>
            <w:hideMark/>
          </w:tcPr>
          <w:p w14:paraId="108E729A" w14:textId="77777777" w:rsidR="007D7C1F" w:rsidRPr="007D7C1F" w:rsidRDefault="007D7C1F" w:rsidP="007D7C1F">
            <w:pPr>
              <w:spacing w:after="0" w:line="240" w:lineRule="auto"/>
              <w:rPr>
                <w:rFonts w:cs="Calibri"/>
                <w:szCs w:val="22"/>
              </w:rPr>
            </w:pPr>
            <w:r w:rsidRPr="007D7C1F">
              <w:rPr>
                <w:rFonts w:cs="Calibri"/>
                <w:szCs w:val="22"/>
              </w:rPr>
              <w:t>Rozhraní (konektory)</w:t>
            </w:r>
          </w:p>
        </w:tc>
        <w:tc>
          <w:tcPr>
            <w:tcW w:w="2217" w:type="dxa"/>
            <w:tcBorders>
              <w:top w:val="nil"/>
              <w:left w:val="nil"/>
              <w:bottom w:val="dotted" w:sz="4" w:space="0" w:color="auto"/>
              <w:right w:val="single" w:sz="8" w:space="0" w:color="auto"/>
            </w:tcBorders>
            <w:shd w:val="clear" w:color="auto" w:fill="auto"/>
            <w:hideMark/>
          </w:tcPr>
          <w:p w14:paraId="43CF27AE" w14:textId="77777777" w:rsidR="007D7C1F" w:rsidRPr="007D7C1F" w:rsidRDefault="007D7C1F" w:rsidP="007D7C1F">
            <w:pPr>
              <w:spacing w:after="0" w:line="240" w:lineRule="auto"/>
              <w:rPr>
                <w:rFonts w:cs="Calibri"/>
                <w:szCs w:val="22"/>
              </w:rPr>
            </w:pPr>
            <w:r w:rsidRPr="007D7C1F">
              <w:rPr>
                <w:rFonts w:cs="Calibri"/>
                <w:szCs w:val="22"/>
              </w:rPr>
              <w:t>digitální port (HDMI a DisplayPort)</w:t>
            </w:r>
          </w:p>
        </w:tc>
        <w:tc>
          <w:tcPr>
            <w:tcW w:w="1351" w:type="dxa"/>
            <w:tcBorders>
              <w:top w:val="nil"/>
              <w:left w:val="nil"/>
              <w:bottom w:val="dotted" w:sz="4" w:space="0" w:color="auto"/>
              <w:right w:val="nil"/>
            </w:tcBorders>
            <w:shd w:val="clear" w:color="000000" w:fill="FFFFFF"/>
            <w:hideMark/>
          </w:tcPr>
          <w:p w14:paraId="7D321EB7" w14:textId="77777777" w:rsidR="007D7C1F" w:rsidRPr="007D7C1F" w:rsidRDefault="007D7C1F" w:rsidP="007D7C1F">
            <w:pPr>
              <w:spacing w:after="0" w:line="240" w:lineRule="auto"/>
              <w:jc w:val="center"/>
              <w:rPr>
                <w:rFonts w:cs="Calibri"/>
                <w:szCs w:val="22"/>
              </w:rPr>
            </w:pPr>
            <w:r w:rsidRPr="007D7C1F">
              <w:rPr>
                <w:rFonts w:cs="Calibri"/>
                <w:szCs w:val="22"/>
              </w:rPr>
              <w:t>min.</w:t>
            </w:r>
          </w:p>
        </w:tc>
        <w:tc>
          <w:tcPr>
            <w:tcW w:w="3005" w:type="dxa"/>
            <w:tcBorders>
              <w:top w:val="nil"/>
              <w:left w:val="double" w:sz="6" w:space="0" w:color="auto"/>
              <w:bottom w:val="single" w:sz="8" w:space="0" w:color="auto"/>
              <w:right w:val="single" w:sz="8" w:space="0" w:color="auto"/>
            </w:tcBorders>
            <w:shd w:val="clear" w:color="auto" w:fill="auto"/>
            <w:hideMark/>
          </w:tcPr>
          <w:p w14:paraId="06D150E3" w14:textId="77777777" w:rsidR="007D7C1F" w:rsidRPr="007D7C1F" w:rsidRDefault="007D7C1F" w:rsidP="007D7C1F">
            <w:pPr>
              <w:spacing w:after="0" w:line="240" w:lineRule="auto"/>
              <w:rPr>
                <w:rFonts w:cs="Calibri"/>
                <w:szCs w:val="22"/>
              </w:rPr>
            </w:pPr>
            <w:r w:rsidRPr="007D7C1F">
              <w:rPr>
                <w:rFonts w:cs="Calibri"/>
                <w:szCs w:val="22"/>
              </w:rPr>
              <w:t>2 (1x HDMI a 1x DP)</w:t>
            </w:r>
          </w:p>
        </w:tc>
        <w:tc>
          <w:tcPr>
            <w:tcW w:w="2693" w:type="dxa"/>
            <w:tcBorders>
              <w:top w:val="nil"/>
              <w:left w:val="double" w:sz="6" w:space="0" w:color="auto"/>
              <w:bottom w:val="single" w:sz="8" w:space="0" w:color="auto"/>
              <w:right w:val="single" w:sz="8" w:space="0" w:color="auto"/>
            </w:tcBorders>
            <w:shd w:val="clear" w:color="auto" w:fill="auto"/>
            <w:hideMark/>
          </w:tcPr>
          <w:p w14:paraId="2718D86D" w14:textId="77777777" w:rsidR="007D7C1F" w:rsidRPr="007D7C1F" w:rsidRDefault="007D7C1F" w:rsidP="007D7C1F">
            <w:pPr>
              <w:spacing w:after="0" w:line="240" w:lineRule="auto"/>
              <w:rPr>
                <w:rFonts w:cs="Calibri"/>
                <w:szCs w:val="22"/>
              </w:rPr>
            </w:pPr>
            <w:r w:rsidRPr="007D7C1F">
              <w:rPr>
                <w:rFonts w:cs="Calibri"/>
                <w:szCs w:val="22"/>
              </w:rPr>
              <w:t>2 (1x HDMI a 1x DP)</w:t>
            </w:r>
          </w:p>
        </w:tc>
      </w:tr>
      <w:tr w:rsidR="007D7C1F" w:rsidRPr="007D7C1F" w14:paraId="5191B5E7" w14:textId="77777777" w:rsidTr="007D7C1F">
        <w:trPr>
          <w:trHeight w:val="315"/>
        </w:trPr>
        <w:tc>
          <w:tcPr>
            <w:tcW w:w="1776" w:type="dxa"/>
            <w:vMerge/>
            <w:tcBorders>
              <w:top w:val="nil"/>
              <w:left w:val="single" w:sz="12" w:space="0" w:color="auto"/>
              <w:bottom w:val="single" w:sz="8" w:space="0" w:color="000000"/>
              <w:right w:val="nil"/>
            </w:tcBorders>
            <w:vAlign w:val="center"/>
            <w:hideMark/>
          </w:tcPr>
          <w:p w14:paraId="7A38760A" w14:textId="77777777" w:rsidR="007D7C1F" w:rsidRPr="007D7C1F" w:rsidRDefault="007D7C1F" w:rsidP="007D7C1F">
            <w:pPr>
              <w:spacing w:after="0" w:line="240" w:lineRule="auto"/>
              <w:rPr>
                <w:rFonts w:cs="Calibri"/>
                <w:szCs w:val="22"/>
              </w:rPr>
            </w:pPr>
          </w:p>
        </w:tc>
        <w:tc>
          <w:tcPr>
            <w:tcW w:w="2217" w:type="dxa"/>
            <w:tcBorders>
              <w:top w:val="nil"/>
              <w:left w:val="nil"/>
              <w:bottom w:val="single" w:sz="8" w:space="0" w:color="auto"/>
              <w:right w:val="single" w:sz="8" w:space="0" w:color="auto"/>
            </w:tcBorders>
            <w:shd w:val="clear" w:color="000000" w:fill="FFFFFF"/>
            <w:hideMark/>
          </w:tcPr>
          <w:p w14:paraId="631557FD" w14:textId="77777777" w:rsidR="007D7C1F" w:rsidRPr="007D7C1F" w:rsidRDefault="007D7C1F" w:rsidP="007D7C1F">
            <w:pPr>
              <w:spacing w:after="0" w:line="240" w:lineRule="auto"/>
              <w:rPr>
                <w:rFonts w:cs="Calibri"/>
                <w:szCs w:val="22"/>
              </w:rPr>
            </w:pPr>
            <w:r w:rsidRPr="007D7C1F">
              <w:rPr>
                <w:rFonts w:cs="Calibri"/>
                <w:szCs w:val="22"/>
              </w:rPr>
              <w:t>rozhraní USB 2.0 / 3.X, konektory typu A</w:t>
            </w:r>
          </w:p>
        </w:tc>
        <w:tc>
          <w:tcPr>
            <w:tcW w:w="1351" w:type="dxa"/>
            <w:tcBorders>
              <w:top w:val="nil"/>
              <w:left w:val="nil"/>
              <w:bottom w:val="single" w:sz="8" w:space="0" w:color="auto"/>
              <w:right w:val="nil"/>
            </w:tcBorders>
            <w:shd w:val="clear" w:color="000000" w:fill="FFFFFF"/>
            <w:hideMark/>
          </w:tcPr>
          <w:p w14:paraId="44DD7694" w14:textId="77777777" w:rsidR="007D7C1F" w:rsidRPr="007D7C1F" w:rsidRDefault="007D7C1F" w:rsidP="007D7C1F">
            <w:pPr>
              <w:spacing w:after="0" w:line="240" w:lineRule="auto"/>
              <w:jc w:val="center"/>
              <w:rPr>
                <w:rFonts w:cs="Calibri"/>
                <w:szCs w:val="22"/>
              </w:rPr>
            </w:pPr>
            <w:r w:rsidRPr="007D7C1F">
              <w:rPr>
                <w:rFonts w:cs="Calibri"/>
                <w:szCs w:val="22"/>
              </w:rPr>
              <w:t>min.</w:t>
            </w:r>
          </w:p>
        </w:tc>
        <w:tc>
          <w:tcPr>
            <w:tcW w:w="3005" w:type="dxa"/>
            <w:tcBorders>
              <w:top w:val="nil"/>
              <w:left w:val="double" w:sz="6" w:space="0" w:color="auto"/>
              <w:bottom w:val="single" w:sz="8" w:space="0" w:color="auto"/>
              <w:right w:val="single" w:sz="8" w:space="0" w:color="auto"/>
            </w:tcBorders>
            <w:shd w:val="clear" w:color="000000" w:fill="FFFFFF"/>
            <w:hideMark/>
          </w:tcPr>
          <w:p w14:paraId="7F1AD44B" w14:textId="77777777" w:rsidR="007D7C1F" w:rsidRPr="007D7C1F" w:rsidRDefault="007D7C1F" w:rsidP="007D7C1F">
            <w:pPr>
              <w:spacing w:after="0" w:line="240" w:lineRule="auto"/>
              <w:rPr>
                <w:rFonts w:cs="Calibri"/>
                <w:szCs w:val="22"/>
              </w:rPr>
            </w:pPr>
            <w:r w:rsidRPr="007D7C1F">
              <w:rPr>
                <w:rFonts w:cs="Calibri"/>
                <w:szCs w:val="22"/>
              </w:rPr>
              <w:t>2</w:t>
            </w:r>
          </w:p>
        </w:tc>
        <w:tc>
          <w:tcPr>
            <w:tcW w:w="2693" w:type="dxa"/>
            <w:tcBorders>
              <w:top w:val="nil"/>
              <w:left w:val="double" w:sz="6" w:space="0" w:color="auto"/>
              <w:bottom w:val="single" w:sz="8" w:space="0" w:color="auto"/>
              <w:right w:val="single" w:sz="8" w:space="0" w:color="auto"/>
            </w:tcBorders>
            <w:shd w:val="clear" w:color="000000" w:fill="FFFFFF"/>
            <w:hideMark/>
          </w:tcPr>
          <w:p w14:paraId="434F3ADB" w14:textId="77777777" w:rsidR="007D7C1F" w:rsidRPr="007D7C1F" w:rsidRDefault="007D7C1F" w:rsidP="007D7C1F">
            <w:pPr>
              <w:spacing w:after="0" w:line="240" w:lineRule="auto"/>
              <w:rPr>
                <w:rFonts w:cs="Calibri"/>
                <w:szCs w:val="22"/>
              </w:rPr>
            </w:pPr>
            <w:r w:rsidRPr="007D7C1F">
              <w:rPr>
                <w:rFonts w:cs="Calibri"/>
                <w:szCs w:val="22"/>
              </w:rPr>
              <w:t>2</w:t>
            </w:r>
          </w:p>
        </w:tc>
      </w:tr>
      <w:tr w:rsidR="007D7C1F" w:rsidRPr="007D7C1F" w14:paraId="41C111CA"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000000" w:fill="FFFFFF"/>
            <w:hideMark/>
          </w:tcPr>
          <w:p w14:paraId="5DFC50A8" w14:textId="77777777" w:rsidR="007D7C1F" w:rsidRPr="007D7C1F" w:rsidRDefault="007D7C1F" w:rsidP="007D7C1F">
            <w:pPr>
              <w:spacing w:after="0" w:line="240" w:lineRule="auto"/>
              <w:rPr>
                <w:rFonts w:cs="Calibri"/>
                <w:szCs w:val="22"/>
              </w:rPr>
            </w:pPr>
            <w:r w:rsidRPr="007D7C1F">
              <w:rPr>
                <w:rFonts w:cs="Calibri"/>
                <w:szCs w:val="22"/>
              </w:rPr>
              <w:t>Výškově nastavitelný stojan - min.30,5 cm střed obrazovky nad deskou stolu</w:t>
            </w:r>
          </w:p>
        </w:tc>
        <w:tc>
          <w:tcPr>
            <w:tcW w:w="1351" w:type="dxa"/>
            <w:tcBorders>
              <w:top w:val="nil"/>
              <w:left w:val="nil"/>
              <w:bottom w:val="single" w:sz="8" w:space="0" w:color="auto"/>
              <w:right w:val="nil"/>
            </w:tcBorders>
            <w:shd w:val="clear" w:color="000000" w:fill="FFFFFF"/>
            <w:hideMark/>
          </w:tcPr>
          <w:p w14:paraId="33AF32E5"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3005" w:type="dxa"/>
            <w:tcBorders>
              <w:top w:val="nil"/>
              <w:left w:val="double" w:sz="6" w:space="0" w:color="auto"/>
              <w:bottom w:val="single" w:sz="8" w:space="0" w:color="auto"/>
              <w:right w:val="single" w:sz="8" w:space="0" w:color="auto"/>
            </w:tcBorders>
            <w:shd w:val="clear" w:color="auto" w:fill="auto"/>
            <w:hideMark/>
          </w:tcPr>
          <w:p w14:paraId="63404A50" w14:textId="77777777" w:rsidR="007D7C1F" w:rsidRPr="007D7C1F" w:rsidRDefault="007D7C1F" w:rsidP="007D7C1F">
            <w:pPr>
              <w:spacing w:after="0" w:line="240" w:lineRule="auto"/>
              <w:rPr>
                <w:rFonts w:cs="Calibri"/>
                <w:szCs w:val="22"/>
              </w:rPr>
            </w:pPr>
            <w:r w:rsidRPr="007D7C1F">
              <w:rPr>
                <w:rFonts w:cs="Calibri"/>
                <w:szCs w:val="22"/>
              </w:rPr>
              <w:t>ano</w:t>
            </w:r>
          </w:p>
        </w:tc>
        <w:tc>
          <w:tcPr>
            <w:tcW w:w="2693" w:type="dxa"/>
            <w:tcBorders>
              <w:top w:val="nil"/>
              <w:left w:val="double" w:sz="6" w:space="0" w:color="auto"/>
              <w:bottom w:val="single" w:sz="8" w:space="0" w:color="auto"/>
              <w:right w:val="single" w:sz="8" w:space="0" w:color="auto"/>
            </w:tcBorders>
            <w:shd w:val="clear" w:color="auto" w:fill="auto"/>
            <w:hideMark/>
          </w:tcPr>
          <w:p w14:paraId="346FD813" w14:textId="77777777" w:rsidR="007D7C1F" w:rsidRPr="007D7C1F" w:rsidRDefault="007D7C1F" w:rsidP="007D7C1F">
            <w:pPr>
              <w:spacing w:after="0" w:line="240" w:lineRule="auto"/>
              <w:rPr>
                <w:rFonts w:cs="Calibri"/>
                <w:szCs w:val="22"/>
              </w:rPr>
            </w:pPr>
            <w:r w:rsidRPr="007D7C1F">
              <w:rPr>
                <w:rFonts w:cs="Calibri"/>
                <w:szCs w:val="22"/>
              </w:rPr>
              <w:t>ano</w:t>
            </w:r>
          </w:p>
        </w:tc>
      </w:tr>
      <w:tr w:rsidR="007D7C1F" w:rsidRPr="007D7C1F" w14:paraId="36B3070F"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000000" w:fill="FFFFFF"/>
            <w:hideMark/>
          </w:tcPr>
          <w:p w14:paraId="26D457C3" w14:textId="77777777" w:rsidR="007D7C1F" w:rsidRPr="007D7C1F" w:rsidRDefault="007D7C1F" w:rsidP="007D7C1F">
            <w:pPr>
              <w:spacing w:after="0" w:line="240" w:lineRule="auto"/>
              <w:rPr>
                <w:rFonts w:cs="Calibri"/>
                <w:szCs w:val="22"/>
              </w:rPr>
            </w:pPr>
            <w:r w:rsidRPr="007D7C1F">
              <w:rPr>
                <w:rFonts w:cs="Calibri"/>
                <w:szCs w:val="22"/>
              </w:rPr>
              <w:t>Nastavení náklonu (předo-zadní), min. -5/+20 °</w:t>
            </w:r>
          </w:p>
        </w:tc>
        <w:tc>
          <w:tcPr>
            <w:tcW w:w="1351" w:type="dxa"/>
            <w:tcBorders>
              <w:top w:val="nil"/>
              <w:left w:val="nil"/>
              <w:bottom w:val="single" w:sz="8" w:space="0" w:color="auto"/>
              <w:right w:val="nil"/>
            </w:tcBorders>
            <w:shd w:val="clear" w:color="000000" w:fill="FFFFFF"/>
            <w:hideMark/>
          </w:tcPr>
          <w:p w14:paraId="3B37A477"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3005" w:type="dxa"/>
            <w:tcBorders>
              <w:top w:val="nil"/>
              <w:left w:val="double" w:sz="6" w:space="0" w:color="auto"/>
              <w:bottom w:val="single" w:sz="8" w:space="0" w:color="auto"/>
              <w:right w:val="single" w:sz="8" w:space="0" w:color="auto"/>
            </w:tcBorders>
            <w:shd w:val="clear" w:color="auto" w:fill="auto"/>
            <w:hideMark/>
          </w:tcPr>
          <w:p w14:paraId="60AD2DCA" w14:textId="77777777" w:rsidR="007D7C1F" w:rsidRPr="007D7C1F" w:rsidRDefault="007D7C1F" w:rsidP="007D7C1F">
            <w:pPr>
              <w:spacing w:after="0" w:line="240" w:lineRule="auto"/>
              <w:rPr>
                <w:rFonts w:cs="Calibri"/>
                <w:szCs w:val="22"/>
              </w:rPr>
            </w:pPr>
            <w:r w:rsidRPr="007D7C1F">
              <w:rPr>
                <w:rFonts w:cs="Calibri"/>
                <w:szCs w:val="22"/>
              </w:rPr>
              <w:t>ano</w:t>
            </w:r>
          </w:p>
        </w:tc>
        <w:tc>
          <w:tcPr>
            <w:tcW w:w="2693" w:type="dxa"/>
            <w:tcBorders>
              <w:top w:val="nil"/>
              <w:left w:val="double" w:sz="6" w:space="0" w:color="auto"/>
              <w:bottom w:val="single" w:sz="8" w:space="0" w:color="auto"/>
              <w:right w:val="single" w:sz="8" w:space="0" w:color="auto"/>
            </w:tcBorders>
            <w:shd w:val="clear" w:color="auto" w:fill="auto"/>
            <w:hideMark/>
          </w:tcPr>
          <w:p w14:paraId="6EC27FF0" w14:textId="77777777" w:rsidR="007D7C1F" w:rsidRPr="007D7C1F" w:rsidRDefault="007D7C1F" w:rsidP="007D7C1F">
            <w:pPr>
              <w:spacing w:after="0" w:line="240" w:lineRule="auto"/>
              <w:rPr>
                <w:rFonts w:cs="Calibri"/>
                <w:szCs w:val="22"/>
              </w:rPr>
            </w:pPr>
            <w:r w:rsidRPr="007D7C1F">
              <w:rPr>
                <w:rFonts w:cs="Calibri"/>
                <w:szCs w:val="22"/>
              </w:rPr>
              <w:t>ano</w:t>
            </w:r>
          </w:p>
        </w:tc>
      </w:tr>
      <w:tr w:rsidR="007D7C1F" w:rsidRPr="007D7C1F" w14:paraId="6C163D16" w14:textId="77777777" w:rsidTr="007D7C1F">
        <w:trPr>
          <w:trHeight w:val="315"/>
        </w:trPr>
        <w:tc>
          <w:tcPr>
            <w:tcW w:w="3993" w:type="dxa"/>
            <w:gridSpan w:val="2"/>
            <w:tcBorders>
              <w:top w:val="single" w:sz="8" w:space="0" w:color="auto"/>
              <w:left w:val="single" w:sz="12" w:space="0" w:color="auto"/>
              <w:bottom w:val="single" w:sz="8" w:space="0" w:color="auto"/>
              <w:right w:val="single" w:sz="8" w:space="0" w:color="000000"/>
            </w:tcBorders>
            <w:shd w:val="clear" w:color="auto" w:fill="auto"/>
            <w:hideMark/>
          </w:tcPr>
          <w:p w14:paraId="0D22A172" w14:textId="77777777" w:rsidR="007D7C1F" w:rsidRPr="007D7C1F" w:rsidRDefault="007D7C1F" w:rsidP="007D7C1F">
            <w:pPr>
              <w:spacing w:after="0" w:line="240" w:lineRule="auto"/>
              <w:rPr>
                <w:rFonts w:cs="Calibri"/>
                <w:szCs w:val="22"/>
              </w:rPr>
            </w:pPr>
            <w:r w:rsidRPr="007D7C1F">
              <w:rPr>
                <w:rFonts w:cs="Calibri"/>
                <w:szCs w:val="22"/>
              </w:rPr>
              <w:t>Otočení monitoru o +/- 90 ° (pivot)</w:t>
            </w:r>
          </w:p>
        </w:tc>
        <w:tc>
          <w:tcPr>
            <w:tcW w:w="1351" w:type="dxa"/>
            <w:tcBorders>
              <w:top w:val="nil"/>
              <w:left w:val="nil"/>
              <w:bottom w:val="single" w:sz="8" w:space="0" w:color="auto"/>
              <w:right w:val="nil"/>
            </w:tcBorders>
            <w:shd w:val="clear" w:color="000000" w:fill="FFFFFF"/>
            <w:hideMark/>
          </w:tcPr>
          <w:p w14:paraId="04984179"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3005" w:type="dxa"/>
            <w:tcBorders>
              <w:top w:val="nil"/>
              <w:left w:val="double" w:sz="6" w:space="0" w:color="auto"/>
              <w:bottom w:val="single" w:sz="8" w:space="0" w:color="auto"/>
              <w:right w:val="single" w:sz="8" w:space="0" w:color="auto"/>
            </w:tcBorders>
            <w:shd w:val="clear" w:color="auto" w:fill="auto"/>
            <w:hideMark/>
          </w:tcPr>
          <w:p w14:paraId="60147521" w14:textId="77777777" w:rsidR="007D7C1F" w:rsidRPr="007D7C1F" w:rsidRDefault="007D7C1F" w:rsidP="007D7C1F">
            <w:pPr>
              <w:spacing w:after="0" w:line="240" w:lineRule="auto"/>
              <w:rPr>
                <w:rFonts w:cs="Calibri"/>
                <w:szCs w:val="22"/>
              </w:rPr>
            </w:pPr>
            <w:r w:rsidRPr="007D7C1F">
              <w:rPr>
                <w:rFonts w:cs="Calibri"/>
                <w:szCs w:val="22"/>
              </w:rPr>
              <w:t>ano</w:t>
            </w:r>
          </w:p>
        </w:tc>
        <w:tc>
          <w:tcPr>
            <w:tcW w:w="2693" w:type="dxa"/>
            <w:tcBorders>
              <w:top w:val="nil"/>
              <w:left w:val="double" w:sz="6" w:space="0" w:color="auto"/>
              <w:bottom w:val="single" w:sz="8" w:space="0" w:color="auto"/>
              <w:right w:val="single" w:sz="8" w:space="0" w:color="auto"/>
            </w:tcBorders>
            <w:shd w:val="clear" w:color="auto" w:fill="auto"/>
            <w:hideMark/>
          </w:tcPr>
          <w:p w14:paraId="0BDE5958" w14:textId="77777777" w:rsidR="007D7C1F" w:rsidRPr="007D7C1F" w:rsidRDefault="007D7C1F" w:rsidP="007D7C1F">
            <w:pPr>
              <w:spacing w:after="0" w:line="240" w:lineRule="auto"/>
              <w:rPr>
                <w:rFonts w:cs="Calibri"/>
                <w:szCs w:val="22"/>
              </w:rPr>
            </w:pPr>
            <w:r w:rsidRPr="007D7C1F">
              <w:rPr>
                <w:rFonts w:cs="Calibri"/>
                <w:szCs w:val="22"/>
              </w:rPr>
              <w:t>ano</w:t>
            </w:r>
          </w:p>
        </w:tc>
      </w:tr>
      <w:tr w:rsidR="007D7C1F" w:rsidRPr="007D7C1F" w14:paraId="17A222D2" w14:textId="77777777" w:rsidTr="007D7C1F">
        <w:trPr>
          <w:trHeight w:val="315"/>
        </w:trPr>
        <w:tc>
          <w:tcPr>
            <w:tcW w:w="3993" w:type="dxa"/>
            <w:gridSpan w:val="2"/>
            <w:tcBorders>
              <w:top w:val="single" w:sz="8" w:space="0" w:color="auto"/>
              <w:left w:val="single" w:sz="12" w:space="0" w:color="auto"/>
              <w:bottom w:val="single" w:sz="8" w:space="0" w:color="auto"/>
              <w:right w:val="nil"/>
            </w:tcBorders>
            <w:shd w:val="clear" w:color="000000" w:fill="FFFFFF"/>
            <w:hideMark/>
          </w:tcPr>
          <w:p w14:paraId="2C327712" w14:textId="77777777" w:rsidR="007D7C1F" w:rsidRPr="007D7C1F" w:rsidRDefault="007D7C1F" w:rsidP="007D7C1F">
            <w:pPr>
              <w:spacing w:after="0" w:line="240" w:lineRule="auto"/>
              <w:rPr>
                <w:rFonts w:cs="Calibri"/>
                <w:szCs w:val="22"/>
              </w:rPr>
            </w:pPr>
            <w:r w:rsidRPr="007D7C1F">
              <w:rPr>
                <w:rFonts w:cs="Calibri"/>
                <w:szCs w:val="22"/>
              </w:rPr>
              <w:lastRenderedPageBreak/>
              <w:t>Napájecí síťový kabel délky min. 1,5 m</w:t>
            </w:r>
          </w:p>
        </w:tc>
        <w:tc>
          <w:tcPr>
            <w:tcW w:w="1351" w:type="dxa"/>
            <w:tcBorders>
              <w:top w:val="nil"/>
              <w:left w:val="single" w:sz="8" w:space="0" w:color="auto"/>
              <w:bottom w:val="single" w:sz="8" w:space="0" w:color="auto"/>
              <w:right w:val="nil"/>
            </w:tcBorders>
            <w:shd w:val="clear" w:color="000000" w:fill="FFFFFF"/>
            <w:hideMark/>
          </w:tcPr>
          <w:p w14:paraId="270EAD9B"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3005" w:type="dxa"/>
            <w:tcBorders>
              <w:top w:val="nil"/>
              <w:left w:val="double" w:sz="6" w:space="0" w:color="auto"/>
              <w:bottom w:val="nil"/>
              <w:right w:val="single" w:sz="8" w:space="0" w:color="auto"/>
            </w:tcBorders>
            <w:shd w:val="clear" w:color="auto" w:fill="auto"/>
            <w:hideMark/>
          </w:tcPr>
          <w:p w14:paraId="7926D265" w14:textId="77777777" w:rsidR="007D7C1F" w:rsidRPr="007D7C1F" w:rsidRDefault="007D7C1F" w:rsidP="007D7C1F">
            <w:pPr>
              <w:spacing w:after="0" w:line="240" w:lineRule="auto"/>
              <w:rPr>
                <w:rFonts w:cs="Calibri"/>
                <w:szCs w:val="22"/>
              </w:rPr>
            </w:pPr>
            <w:r w:rsidRPr="007D7C1F">
              <w:rPr>
                <w:rFonts w:cs="Calibri"/>
                <w:szCs w:val="22"/>
              </w:rPr>
              <w:t>ano</w:t>
            </w:r>
          </w:p>
        </w:tc>
        <w:tc>
          <w:tcPr>
            <w:tcW w:w="2693" w:type="dxa"/>
            <w:tcBorders>
              <w:top w:val="nil"/>
              <w:left w:val="double" w:sz="6" w:space="0" w:color="auto"/>
              <w:bottom w:val="nil"/>
              <w:right w:val="single" w:sz="8" w:space="0" w:color="auto"/>
            </w:tcBorders>
            <w:shd w:val="clear" w:color="auto" w:fill="auto"/>
            <w:hideMark/>
          </w:tcPr>
          <w:p w14:paraId="61626AA5" w14:textId="77777777" w:rsidR="007D7C1F" w:rsidRPr="007D7C1F" w:rsidRDefault="007D7C1F" w:rsidP="007D7C1F">
            <w:pPr>
              <w:spacing w:after="0" w:line="240" w:lineRule="auto"/>
              <w:rPr>
                <w:rFonts w:cs="Calibri"/>
                <w:szCs w:val="22"/>
              </w:rPr>
            </w:pPr>
            <w:r w:rsidRPr="007D7C1F">
              <w:rPr>
                <w:rFonts w:cs="Calibri"/>
                <w:szCs w:val="22"/>
              </w:rPr>
              <w:t>ano</w:t>
            </w:r>
          </w:p>
        </w:tc>
      </w:tr>
      <w:tr w:rsidR="007D7C1F" w:rsidRPr="007D7C1F" w14:paraId="055F2387" w14:textId="77777777" w:rsidTr="007D7C1F">
        <w:trPr>
          <w:trHeight w:val="330"/>
        </w:trPr>
        <w:tc>
          <w:tcPr>
            <w:tcW w:w="1776" w:type="dxa"/>
            <w:tcBorders>
              <w:top w:val="double" w:sz="6" w:space="0" w:color="auto"/>
              <w:left w:val="single" w:sz="12" w:space="0" w:color="auto"/>
              <w:bottom w:val="double" w:sz="6" w:space="0" w:color="auto"/>
              <w:right w:val="nil"/>
            </w:tcBorders>
            <w:shd w:val="clear" w:color="000000" w:fill="92D050"/>
            <w:hideMark/>
          </w:tcPr>
          <w:p w14:paraId="421E94D3" w14:textId="77777777" w:rsidR="007D7C1F" w:rsidRPr="007D7C1F" w:rsidRDefault="007D7C1F" w:rsidP="007D7C1F">
            <w:pPr>
              <w:spacing w:after="0" w:line="240" w:lineRule="auto"/>
              <w:rPr>
                <w:rFonts w:cs="Calibri"/>
                <w:szCs w:val="22"/>
              </w:rPr>
            </w:pPr>
            <w:r w:rsidRPr="007D7C1F">
              <w:rPr>
                <w:rFonts w:cs="Calibri"/>
                <w:szCs w:val="22"/>
              </w:rPr>
              <w:t>Společné parametry</w:t>
            </w:r>
          </w:p>
        </w:tc>
        <w:tc>
          <w:tcPr>
            <w:tcW w:w="2217" w:type="dxa"/>
            <w:tcBorders>
              <w:top w:val="double" w:sz="6" w:space="0" w:color="auto"/>
              <w:left w:val="nil"/>
              <w:bottom w:val="double" w:sz="6" w:space="0" w:color="auto"/>
              <w:right w:val="nil"/>
            </w:tcBorders>
            <w:shd w:val="clear" w:color="000000" w:fill="92D050"/>
            <w:hideMark/>
          </w:tcPr>
          <w:p w14:paraId="2A4047E2" w14:textId="77777777" w:rsidR="007D7C1F" w:rsidRPr="007D7C1F" w:rsidRDefault="007D7C1F" w:rsidP="007D7C1F">
            <w:pPr>
              <w:spacing w:after="0" w:line="240" w:lineRule="auto"/>
              <w:rPr>
                <w:rFonts w:cs="Calibri"/>
                <w:szCs w:val="22"/>
              </w:rPr>
            </w:pPr>
            <w:r w:rsidRPr="007D7C1F">
              <w:rPr>
                <w:rFonts w:cs="Calibri"/>
                <w:szCs w:val="22"/>
              </w:rPr>
              <w:t> </w:t>
            </w:r>
          </w:p>
        </w:tc>
        <w:tc>
          <w:tcPr>
            <w:tcW w:w="1351" w:type="dxa"/>
            <w:tcBorders>
              <w:top w:val="double" w:sz="6" w:space="0" w:color="auto"/>
              <w:left w:val="nil"/>
              <w:bottom w:val="double" w:sz="6" w:space="0" w:color="auto"/>
              <w:right w:val="nil"/>
            </w:tcBorders>
            <w:shd w:val="clear" w:color="000000" w:fill="92D050"/>
            <w:hideMark/>
          </w:tcPr>
          <w:p w14:paraId="7F126BC9" w14:textId="77777777" w:rsidR="007D7C1F" w:rsidRPr="007D7C1F" w:rsidRDefault="007D7C1F" w:rsidP="007D7C1F">
            <w:pPr>
              <w:spacing w:after="0" w:line="240" w:lineRule="auto"/>
              <w:rPr>
                <w:rFonts w:cs="Calibri"/>
                <w:szCs w:val="22"/>
              </w:rPr>
            </w:pPr>
            <w:r w:rsidRPr="007D7C1F">
              <w:rPr>
                <w:rFonts w:cs="Calibri"/>
                <w:szCs w:val="22"/>
              </w:rPr>
              <w:t> </w:t>
            </w:r>
          </w:p>
        </w:tc>
        <w:tc>
          <w:tcPr>
            <w:tcW w:w="3005" w:type="dxa"/>
            <w:tcBorders>
              <w:top w:val="double" w:sz="6" w:space="0" w:color="auto"/>
              <w:left w:val="double" w:sz="6" w:space="0" w:color="auto"/>
              <w:bottom w:val="double" w:sz="6" w:space="0" w:color="auto"/>
              <w:right w:val="nil"/>
            </w:tcBorders>
            <w:shd w:val="clear" w:color="000000" w:fill="92D050"/>
            <w:vAlign w:val="center"/>
            <w:hideMark/>
          </w:tcPr>
          <w:p w14:paraId="00BDF130"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2693" w:type="dxa"/>
            <w:tcBorders>
              <w:top w:val="double" w:sz="6" w:space="0" w:color="auto"/>
              <w:left w:val="double" w:sz="6" w:space="0" w:color="auto"/>
              <w:bottom w:val="double" w:sz="6" w:space="0" w:color="auto"/>
              <w:right w:val="nil"/>
            </w:tcBorders>
            <w:shd w:val="clear" w:color="000000" w:fill="92D050"/>
            <w:vAlign w:val="center"/>
            <w:hideMark/>
          </w:tcPr>
          <w:p w14:paraId="11DA78F6" w14:textId="77777777" w:rsidR="007D7C1F" w:rsidRPr="007D7C1F" w:rsidRDefault="007D7C1F" w:rsidP="007D7C1F">
            <w:pPr>
              <w:spacing w:after="0" w:line="240" w:lineRule="auto"/>
              <w:jc w:val="center"/>
              <w:rPr>
                <w:rFonts w:cs="Calibri"/>
                <w:szCs w:val="22"/>
              </w:rPr>
            </w:pPr>
            <w:r w:rsidRPr="007D7C1F">
              <w:rPr>
                <w:rFonts w:cs="Calibri"/>
                <w:szCs w:val="22"/>
              </w:rPr>
              <w:t> </w:t>
            </w:r>
          </w:p>
        </w:tc>
      </w:tr>
      <w:tr w:rsidR="007D7C1F" w:rsidRPr="007D7C1F" w14:paraId="477EF759" w14:textId="77777777" w:rsidTr="007D7C1F">
        <w:trPr>
          <w:trHeight w:val="630"/>
        </w:trPr>
        <w:tc>
          <w:tcPr>
            <w:tcW w:w="1776" w:type="dxa"/>
            <w:tcBorders>
              <w:top w:val="nil"/>
              <w:left w:val="single" w:sz="12" w:space="0" w:color="auto"/>
              <w:bottom w:val="single" w:sz="8" w:space="0" w:color="auto"/>
              <w:right w:val="single" w:sz="8" w:space="0" w:color="auto"/>
            </w:tcBorders>
            <w:shd w:val="clear" w:color="auto" w:fill="auto"/>
            <w:hideMark/>
          </w:tcPr>
          <w:p w14:paraId="2DE2ACD3" w14:textId="77777777" w:rsidR="007D7C1F" w:rsidRPr="007D7C1F" w:rsidRDefault="007D7C1F" w:rsidP="007D7C1F">
            <w:pPr>
              <w:spacing w:after="0" w:line="240" w:lineRule="auto"/>
              <w:rPr>
                <w:rFonts w:cs="Calibri"/>
                <w:szCs w:val="22"/>
              </w:rPr>
            </w:pPr>
            <w:r w:rsidRPr="007D7C1F">
              <w:rPr>
                <w:rFonts w:cs="Calibri"/>
                <w:szCs w:val="22"/>
              </w:rPr>
              <w:t> </w:t>
            </w:r>
          </w:p>
        </w:tc>
        <w:tc>
          <w:tcPr>
            <w:tcW w:w="2217" w:type="dxa"/>
            <w:tcBorders>
              <w:top w:val="dotted" w:sz="4" w:space="0" w:color="auto"/>
              <w:left w:val="nil"/>
              <w:bottom w:val="single" w:sz="8" w:space="0" w:color="auto"/>
              <w:right w:val="nil"/>
            </w:tcBorders>
            <w:shd w:val="clear" w:color="auto" w:fill="auto"/>
            <w:hideMark/>
          </w:tcPr>
          <w:p w14:paraId="6C0CF460" w14:textId="77777777" w:rsidR="007D7C1F" w:rsidRPr="007D7C1F" w:rsidRDefault="007D7C1F" w:rsidP="007D7C1F">
            <w:pPr>
              <w:spacing w:after="0" w:line="240" w:lineRule="auto"/>
              <w:rPr>
                <w:rFonts w:cs="Calibri"/>
                <w:szCs w:val="22"/>
              </w:rPr>
            </w:pPr>
            <w:r w:rsidRPr="007D7C1F">
              <w:rPr>
                <w:rFonts w:cs="Calibri"/>
                <w:szCs w:val="22"/>
              </w:rPr>
              <w:t>Případný ostatní SW v ceně - instalační CD nebo DVD s ovladači a managementem na vyžádání při nákupu nebo na USB flash disku.</w:t>
            </w:r>
          </w:p>
        </w:tc>
        <w:tc>
          <w:tcPr>
            <w:tcW w:w="1351" w:type="dxa"/>
            <w:tcBorders>
              <w:top w:val="dotted" w:sz="4" w:space="0" w:color="auto"/>
              <w:left w:val="single" w:sz="8" w:space="0" w:color="auto"/>
              <w:bottom w:val="single" w:sz="8" w:space="0" w:color="auto"/>
              <w:right w:val="nil"/>
            </w:tcBorders>
            <w:shd w:val="clear" w:color="auto" w:fill="auto"/>
            <w:vAlign w:val="center"/>
            <w:hideMark/>
          </w:tcPr>
          <w:p w14:paraId="480807A4"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3005" w:type="dxa"/>
            <w:tcBorders>
              <w:top w:val="dotted" w:sz="4" w:space="0" w:color="auto"/>
              <w:left w:val="double" w:sz="6" w:space="0" w:color="auto"/>
              <w:bottom w:val="single" w:sz="8" w:space="0" w:color="auto"/>
              <w:right w:val="single" w:sz="8" w:space="0" w:color="auto"/>
            </w:tcBorders>
            <w:shd w:val="clear" w:color="auto" w:fill="auto"/>
            <w:hideMark/>
          </w:tcPr>
          <w:p w14:paraId="7719EB14" w14:textId="77777777" w:rsidR="007D7C1F" w:rsidRPr="007D7C1F" w:rsidRDefault="007D7C1F" w:rsidP="007D7C1F">
            <w:pPr>
              <w:spacing w:after="0" w:line="240" w:lineRule="auto"/>
              <w:rPr>
                <w:rFonts w:cs="Calibri"/>
                <w:szCs w:val="22"/>
              </w:rPr>
            </w:pPr>
            <w:r w:rsidRPr="007D7C1F">
              <w:rPr>
                <w:rFonts w:cs="Calibri"/>
                <w:szCs w:val="22"/>
              </w:rPr>
              <w:t>ano</w:t>
            </w:r>
          </w:p>
        </w:tc>
        <w:tc>
          <w:tcPr>
            <w:tcW w:w="2693" w:type="dxa"/>
            <w:tcBorders>
              <w:top w:val="dotted" w:sz="4" w:space="0" w:color="auto"/>
              <w:left w:val="double" w:sz="6" w:space="0" w:color="auto"/>
              <w:bottom w:val="single" w:sz="8" w:space="0" w:color="auto"/>
              <w:right w:val="single" w:sz="8" w:space="0" w:color="auto"/>
            </w:tcBorders>
            <w:shd w:val="clear" w:color="auto" w:fill="auto"/>
            <w:hideMark/>
          </w:tcPr>
          <w:p w14:paraId="385C4990" w14:textId="77777777" w:rsidR="007D7C1F" w:rsidRPr="007D7C1F" w:rsidRDefault="007D7C1F" w:rsidP="007D7C1F">
            <w:pPr>
              <w:spacing w:after="0" w:line="240" w:lineRule="auto"/>
              <w:rPr>
                <w:rFonts w:cs="Calibri"/>
                <w:szCs w:val="22"/>
              </w:rPr>
            </w:pPr>
            <w:r w:rsidRPr="007D7C1F">
              <w:rPr>
                <w:rFonts w:cs="Calibri"/>
                <w:szCs w:val="22"/>
              </w:rPr>
              <w:t>ano</w:t>
            </w:r>
          </w:p>
        </w:tc>
      </w:tr>
      <w:tr w:rsidR="007D7C1F" w:rsidRPr="007D7C1F" w14:paraId="122839CD" w14:textId="77777777" w:rsidTr="007D7C1F">
        <w:trPr>
          <w:trHeight w:val="630"/>
        </w:trPr>
        <w:tc>
          <w:tcPr>
            <w:tcW w:w="1776" w:type="dxa"/>
            <w:tcBorders>
              <w:top w:val="nil"/>
              <w:left w:val="single" w:sz="12" w:space="0" w:color="auto"/>
              <w:bottom w:val="nil"/>
              <w:right w:val="single" w:sz="8" w:space="0" w:color="auto"/>
            </w:tcBorders>
            <w:shd w:val="clear" w:color="auto" w:fill="auto"/>
            <w:hideMark/>
          </w:tcPr>
          <w:p w14:paraId="6CE3E998" w14:textId="77777777" w:rsidR="007D7C1F" w:rsidRPr="007D7C1F" w:rsidRDefault="007D7C1F" w:rsidP="007D7C1F">
            <w:pPr>
              <w:spacing w:after="0" w:line="240" w:lineRule="auto"/>
              <w:rPr>
                <w:rFonts w:cs="Calibri"/>
                <w:szCs w:val="22"/>
              </w:rPr>
            </w:pPr>
            <w:r w:rsidRPr="007D7C1F">
              <w:rPr>
                <w:rFonts w:cs="Calibri"/>
                <w:szCs w:val="22"/>
              </w:rPr>
              <w:t>Záruka</w:t>
            </w:r>
          </w:p>
        </w:tc>
        <w:tc>
          <w:tcPr>
            <w:tcW w:w="2217" w:type="dxa"/>
            <w:tcBorders>
              <w:top w:val="nil"/>
              <w:left w:val="nil"/>
              <w:bottom w:val="single" w:sz="4" w:space="0" w:color="auto"/>
              <w:right w:val="single" w:sz="8" w:space="0" w:color="auto"/>
            </w:tcBorders>
            <w:shd w:val="clear" w:color="auto" w:fill="auto"/>
            <w:hideMark/>
          </w:tcPr>
          <w:p w14:paraId="7E856B5E" w14:textId="77777777" w:rsidR="007D7C1F" w:rsidRPr="007D7C1F" w:rsidRDefault="007D7C1F" w:rsidP="007D7C1F">
            <w:pPr>
              <w:spacing w:after="0" w:line="240" w:lineRule="auto"/>
              <w:rPr>
                <w:rFonts w:cs="Calibri"/>
                <w:szCs w:val="22"/>
              </w:rPr>
            </w:pPr>
            <w:r w:rsidRPr="007D7C1F">
              <w:rPr>
                <w:rFonts w:cs="Calibri"/>
                <w:szCs w:val="22"/>
              </w:rPr>
              <w:t>Záruka v ČR garantovaná výrobcem dokončení opravy NBD on-site od nahlášení.</w:t>
            </w:r>
          </w:p>
        </w:tc>
        <w:tc>
          <w:tcPr>
            <w:tcW w:w="1351" w:type="dxa"/>
            <w:tcBorders>
              <w:top w:val="nil"/>
              <w:left w:val="nil"/>
              <w:bottom w:val="single" w:sz="4" w:space="0" w:color="auto"/>
              <w:right w:val="double" w:sz="6" w:space="0" w:color="auto"/>
            </w:tcBorders>
            <w:shd w:val="clear" w:color="auto" w:fill="auto"/>
            <w:vAlign w:val="center"/>
            <w:hideMark/>
          </w:tcPr>
          <w:p w14:paraId="5F74FECA" w14:textId="77777777" w:rsidR="007D7C1F" w:rsidRPr="007D7C1F" w:rsidRDefault="007D7C1F" w:rsidP="007D7C1F">
            <w:pPr>
              <w:spacing w:after="0" w:line="240" w:lineRule="auto"/>
              <w:jc w:val="center"/>
              <w:rPr>
                <w:rFonts w:cs="Calibri"/>
                <w:szCs w:val="22"/>
              </w:rPr>
            </w:pPr>
            <w:r w:rsidRPr="007D7C1F">
              <w:rPr>
                <w:rFonts w:cs="Calibri"/>
                <w:szCs w:val="22"/>
              </w:rPr>
              <w:t>min.</w:t>
            </w:r>
          </w:p>
        </w:tc>
        <w:tc>
          <w:tcPr>
            <w:tcW w:w="3005" w:type="dxa"/>
            <w:tcBorders>
              <w:top w:val="nil"/>
              <w:left w:val="nil"/>
              <w:bottom w:val="single" w:sz="4" w:space="0" w:color="auto"/>
              <w:right w:val="single" w:sz="8" w:space="0" w:color="auto"/>
            </w:tcBorders>
            <w:shd w:val="clear" w:color="auto" w:fill="auto"/>
            <w:hideMark/>
          </w:tcPr>
          <w:p w14:paraId="265F7F26" w14:textId="77777777" w:rsidR="007D7C1F" w:rsidRPr="007D7C1F" w:rsidRDefault="007D7C1F" w:rsidP="007D7C1F">
            <w:pPr>
              <w:spacing w:after="0" w:line="240" w:lineRule="auto"/>
              <w:rPr>
                <w:rFonts w:cs="Calibri"/>
                <w:szCs w:val="22"/>
              </w:rPr>
            </w:pPr>
            <w:r w:rsidRPr="007D7C1F">
              <w:rPr>
                <w:rFonts w:cs="Calibri"/>
                <w:szCs w:val="22"/>
              </w:rPr>
              <w:t>5 let</w:t>
            </w:r>
          </w:p>
        </w:tc>
        <w:tc>
          <w:tcPr>
            <w:tcW w:w="2693" w:type="dxa"/>
            <w:tcBorders>
              <w:top w:val="nil"/>
              <w:left w:val="double" w:sz="6" w:space="0" w:color="auto"/>
              <w:bottom w:val="single" w:sz="4" w:space="0" w:color="auto"/>
              <w:right w:val="single" w:sz="8" w:space="0" w:color="auto"/>
            </w:tcBorders>
            <w:shd w:val="clear" w:color="auto" w:fill="auto"/>
            <w:hideMark/>
          </w:tcPr>
          <w:p w14:paraId="389DA0A2" w14:textId="77777777" w:rsidR="007D7C1F" w:rsidRPr="007D7C1F" w:rsidRDefault="007D7C1F" w:rsidP="007D7C1F">
            <w:pPr>
              <w:spacing w:after="0" w:line="240" w:lineRule="auto"/>
              <w:rPr>
                <w:rFonts w:cs="Calibri"/>
                <w:szCs w:val="22"/>
              </w:rPr>
            </w:pPr>
            <w:r w:rsidRPr="007D7C1F">
              <w:rPr>
                <w:rFonts w:cs="Calibri"/>
                <w:szCs w:val="22"/>
              </w:rPr>
              <w:t>5 let</w:t>
            </w:r>
          </w:p>
        </w:tc>
      </w:tr>
      <w:tr w:rsidR="007D7C1F" w:rsidRPr="007D7C1F" w14:paraId="12D11B53" w14:textId="77777777" w:rsidTr="007D7C1F">
        <w:trPr>
          <w:trHeight w:val="3015"/>
        </w:trPr>
        <w:tc>
          <w:tcPr>
            <w:tcW w:w="1776" w:type="dxa"/>
            <w:tcBorders>
              <w:top w:val="nil"/>
              <w:left w:val="single" w:sz="12" w:space="0" w:color="auto"/>
              <w:bottom w:val="single" w:sz="8" w:space="0" w:color="auto"/>
              <w:right w:val="single" w:sz="8" w:space="0" w:color="auto"/>
            </w:tcBorders>
            <w:shd w:val="clear" w:color="auto" w:fill="auto"/>
            <w:hideMark/>
          </w:tcPr>
          <w:p w14:paraId="2C3E23DF"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2217" w:type="dxa"/>
            <w:tcBorders>
              <w:top w:val="nil"/>
              <w:left w:val="nil"/>
              <w:bottom w:val="single" w:sz="8" w:space="0" w:color="auto"/>
              <w:right w:val="single" w:sz="8" w:space="0" w:color="auto"/>
            </w:tcBorders>
            <w:shd w:val="clear" w:color="auto" w:fill="auto"/>
            <w:hideMark/>
          </w:tcPr>
          <w:p w14:paraId="66F2F6E7" w14:textId="77777777" w:rsidR="007D7C1F" w:rsidRPr="007D7C1F" w:rsidRDefault="007D7C1F" w:rsidP="007D7C1F">
            <w:pPr>
              <w:spacing w:after="0" w:line="240" w:lineRule="auto"/>
              <w:rPr>
                <w:rFonts w:cs="Calibri"/>
                <w:szCs w:val="22"/>
              </w:rPr>
            </w:pPr>
            <w:r w:rsidRPr="007D7C1F">
              <w:rPr>
                <w:rFonts w:cs="Calibri"/>
                <w:szCs w:val="22"/>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účastnícký </w:t>
            </w:r>
            <w:r w:rsidRPr="007D7C1F">
              <w:rPr>
                <w:rFonts w:cs="Calibri"/>
                <w:szCs w:val="22"/>
              </w:rPr>
              <w:lastRenderedPageBreak/>
              <w:t>tarif) v českém /slovenském jazyce musí být dostupná v pracovní dny minimálně v době od 8:00 do 17:00 hod. Podpora prostřednictvím internetu musí umožňovat stahování ovladačů a manuálů z internetu adresně pro konkrétní zadané sériové číslo zařízení nebo jiný unkátní identifikátor na zařízení.</w:t>
            </w:r>
          </w:p>
        </w:tc>
        <w:tc>
          <w:tcPr>
            <w:tcW w:w="1351" w:type="dxa"/>
            <w:tcBorders>
              <w:top w:val="nil"/>
              <w:left w:val="nil"/>
              <w:bottom w:val="single" w:sz="8" w:space="0" w:color="auto"/>
              <w:right w:val="double" w:sz="6" w:space="0" w:color="auto"/>
            </w:tcBorders>
            <w:shd w:val="clear" w:color="auto" w:fill="auto"/>
            <w:vAlign w:val="center"/>
            <w:hideMark/>
          </w:tcPr>
          <w:p w14:paraId="11F6F468" w14:textId="77777777" w:rsidR="007D7C1F" w:rsidRPr="007D7C1F" w:rsidRDefault="007D7C1F" w:rsidP="007D7C1F">
            <w:pPr>
              <w:spacing w:after="0" w:line="240" w:lineRule="auto"/>
              <w:jc w:val="center"/>
              <w:rPr>
                <w:rFonts w:cs="Calibri"/>
                <w:szCs w:val="22"/>
              </w:rPr>
            </w:pPr>
            <w:r w:rsidRPr="007D7C1F">
              <w:rPr>
                <w:rFonts w:cs="Calibri"/>
                <w:szCs w:val="22"/>
              </w:rPr>
              <w:lastRenderedPageBreak/>
              <w:t> </w:t>
            </w:r>
          </w:p>
        </w:tc>
        <w:tc>
          <w:tcPr>
            <w:tcW w:w="3005" w:type="dxa"/>
            <w:tcBorders>
              <w:top w:val="nil"/>
              <w:left w:val="nil"/>
              <w:bottom w:val="single" w:sz="8" w:space="0" w:color="auto"/>
              <w:right w:val="single" w:sz="8" w:space="0" w:color="auto"/>
            </w:tcBorders>
            <w:shd w:val="clear" w:color="auto" w:fill="auto"/>
            <w:hideMark/>
          </w:tcPr>
          <w:p w14:paraId="4A0AF041" w14:textId="77777777" w:rsidR="007D7C1F" w:rsidRPr="007D7C1F" w:rsidRDefault="007D7C1F" w:rsidP="007D7C1F">
            <w:pPr>
              <w:spacing w:after="0" w:line="240" w:lineRule="auto"/>
              <w:rPr>
                <w:rFonts w:cs="Calibri"/>
                <w:szCs w:val="22"/>
              </w:rPr>
            </w:pPr>
            <w:r w:rsidRPr="007D7C1F">
              <w:rPr>
                <w:rFonts w:cs="Calibri"/>
                <w:szCs w:val="22"/>
              </w:rPr>
              <w:t>ano</w:t>
            </w:r>
          </w:p>
        </w:tc>
        <w:tc>
          <w:tcPr>
            <w:tcW w:w="2693" w:type="dxa"/>
            <w:tcBorders>
              <w:top w:val="nil"/>
              <w:left w:val="double" w:sz="6" w:space="0" w:color="auto"/>
              <w:bottom w:val="single" w:sz="8" w:space="0" w:color="auto"/>
              <w:right w:val="single" w:sz="8" w:space="0" w:color="auto"/>
            </w:tcBorders>
            <w:shd w:val="clear" w:color="auto" w:fill="auto"/>
            <w:hideMark/>
          </w:tcPr>
          <w:p w14:paraId="20AFC97A" w14:textId="77777777" w:rsidR="007D7C1F" w:rsidRPr="007D7C1F" w:rsidRDefault="007D7C1F" w:rsidP="007D7C1F">
            <w:pPr>
              <w:spacing w:after="0" w:line="240" w:lineRule="auto"/>
              <w:rPr>
                <w:rFonts w:cs="Calibri"/>
                <w:szCs w:val="22"/>
              </w:rPr>
            </w:pPr>
            <w:r w:rsidRPr="007D7C1F">
              <w:rPr>
                <w:rFonts w:cs="Calibri"/>
                <w:szCs w:val="22"/>
              </w:rPr>
              <w:t>ano</w:t>
            </w:r>
          </w:p>
        </w:tc>
      </w:tr>
      <w:tr w:rsidR="007D7C1F" w:rsidRPr="007D7C1F" w14:paraId="71224CF0" w14:textId="77777777" w:rsidTr="007D7C1F">
        <w:trPr>
          <w:trHeight w:val="1500"/>
        </w:trPr>
        <w:tc>
          <w:tcPr>
            <w:tcW w:w="1776" w:type="dxa"/>
            <w:tcBorders>
              <w:top w:val="nil"/>
              <w:left w:val="single" w:sz="12" w:space="0" w:color="auto"/>
              <w:bottom w:val="nil"/>
              <w:right w:val="single" w:sz="8" w:space="0" w:color="auto"/>
            </w:tcBorders>
            <w:shd w:val="clear" w:color="auto" w:fill="auto"/>
            <w:hideMark/>
          </w:tcPr>
          <w:p w14:paraId="7B11F5FF" w14:textId="77777777" w:rsidR="007D7C1F" w:rsidRPr="007D7C1F" w:rsidRDefault="007D7C1F" w:rsidP="007D7C1F">
            <w:pPr>
              <w:spacing w:after="0" w:line="240" w:lineRule="auto"/>
              <w:rPr>
                <w:rFonts w:cs="Calibri"/>
                <w:szCs w:val="22"/>
              </w:rPr>
            </w:pPr>
            <w:r w:rsidRPr="007D7C1F">
              <w:rPr>
                <w:rFonts w:cs="Calibri"/>
                <w:szCs w:val="22"/>
              </w:rPr>
              <w:t xml:space="preserve">Ostatní </w:t>
            </w:r>
          </w:p>
        </w:tc>
        <w:tc>
          <w:tcPr>
            <w:tcW w:w="2217" w:type="dxa"/>
            <w:tcBorders>
              <w:top w:val="nil"/>
              <w:left w:val="nil"/>
              <w:bottom w:val="single" w:sz="4" w:space="0" w:color="auto"/>
              <w:right w:val="single" w:sz="8" w:space="0" w:color="auto"/>
            </w:tcBorders>
            <w:shd w:val="clear" w:color="auto" w:fill="auto"/>
            <w:hideMark/>
          </w:tcPr>
          <w:p w14:paraId="7B173656" w14:textId="77777777" w:rsidR="007D7C1F" w:rsidRPr="007D7C1F" w:rsidRDefault="007D7C1F" w:rsidP="007D7C1F">
            <w:pPr>
              <w:spacing w:after="0" w:line="240" w:lineRule="auto"/>
              <w:rPr>
                <w:rFonts w:cs="Calibri"/>
                <w:szCs w:val="22"/>
              </w:rPr>
            </w:pPr>
            <w:r w:rsidRPr="007D7C1F">
              <w:rPr>
                <w:rFonts w:cs="Calibri"/>
                <w:szCs w:val="22"/>
              </w:rPr>
              <w:t xml:space="preserve">Zařízení musí splňovat: Nařízení Komise EU č. 617/2013 ze dne 26. června 2013, kterým se provádí směrnice Evropského parlamentu a Rady 2009/2009/125/ES, soulad s direktivou RoHS (Restriction of Use of Certain Hazardous Substances), certifikát EPEAT (Electronic Product Environmental Assessment Tool), </w:t>
            </w:r>
            <w:r w:rsidRPr="007D7C1F">
              <w:rPr>
                <w:rFonts w:cs="Calibri"/>
                <w:szCs w:val="22"/>
              </w:rPr>
              <w:lastRenderedPageBreak/>
              <w:t>Energy Star min. 6.1.</w:t>
            </w:r>
          </w:p>
        </w:tc>
        <w:tc>
          <w:tcPr>
            <w:tcW w:w="1351" w:type="dxa"/>
            <w:tcBorders>
              <w:top w:val="nil"/>
              <w:left w:val="nil"/>
              <w:bottom w:val="single" w:sz="4" w:space="0" w:color="auto"/>
              <w:right w:val="double" w:sz="6" w:space="0" w:color="auto"/>
            </w:tcBorders>
            <w:shd w:val="clear" w:color="auto" w:fill="auto"/>
            <w:vAlign w:val="center"/>
            <w:hideMark/>
          </w:tcPr>
          <w:p w14:paraId="448C8770" w14:textId="77777777" w:rsidR="007D7C1F" w:rsidRPr="007D7C1F" w:rsidRDefault="007D7C1F" w:rsidP="007D7C1F">
            <w:pPr>
              <w:spacing w:after="0" w:line="240" w:lineRule="auto"/>
              <w:jc w:val="center"/>
              <w:rPr>
                <w:rFonts w:cs="Calibri"/>
                <w:szCs w:val="22"/>
              </w:rPr>
            </w:pPr>
            <w:r w:rsidRPr="007D7C1F">
              <w:rPr>
                <w:rFonts w:cs="Calibri"/>
                <w:szCs w:val="22"/>
              </w:rPr>
              <w:lastRenderedPageBreak/>
              <w:t> </w:t>
            </w:r>
          </w:p>
        </w:tc>
        <w:tc>
          <w:tcPr>
            <w:tcW w:w="3005" w:type="dxa"/>
            <w:tcBorders>
              <w:top w:val="nil"/>
              <w:left w:val="nil"/>
              <w:bottom w:val="single" w:sz="4" w:space="0" w:color="auto"/>
              <w:right w:val="single" w:sz="8" w:space="0" w:color="auto"/>
            </w:tcBorders>
            <w:shd w:val="clear" w:color="auto" w:fill="auto"/>
            <w:hideMark/>
          </w:tcPr>
          <w:p w14:paraId="5E34B9D0" w14:textId="77777777" w:rsidR="007D7C1F" w:rsidRPr="007D7C1F" w:rsidRDefault="007D7C1F" w:rsidP="007D7C1F">
            <w:pPr>
              <w:spacing w:after="0" w:line="240" w:lineRule="auto"/>
              <w:rPr>
                <w:rFonts w:cs="Calibri"/>
                <w:szCs w:val="22"/>
              </w:rPr>
            </w:pPr>
            <w:r w:rsidRPr="007D7C1F">
              <w:rPr>
                <w:rFonts w:cs="Calibri"/>
                <w:szCs w:val="22"/>
              </w:rPr>
              <w:t>ano</w:t>
            </w:r>
          </w:p>
        </w:tc>
        <w:tc>
          <w:tcPr>
            <w:tcW w:w="2693" w:type="dxa"/>
            <w:tcBorders>
              <w:top w:val="nil"/>
              <w:left w:val="double" w:sz="6" w:space="0" w:color="auto"/>
              <w:bottom w:val="single" w:sz="4" w:space="0" w:color="auto"/>
              <w:right w:val="single" w:sz="8" w:space="0" w:color="auto"/>
            </w:tcBorders>
            <w:shd w:val="clear" w:color="auto" w:fill="auto"/>
            <w:hideMark/>
          </w:tcPr>
          <w:p w14:paraId="27C95082" w14:textId="77777777" w:rsidR="007D7C1F" w:rsidRPr="007D7C1F" w:rsidRDefault="007D7C1F" w:rsidP="007D7C1F">
            <w:pPr>
              <w:spacing w:after="0" w:line="240" w:lineRule="auto"/>
              <w:rPr>
                <w:rFonts w:cs="Calibri"/>
                <w:szCs w:val="22"/>
              </w:rPr>
            </w:pPr>
            <w:r w:rsidRPr="007D7C1F">
              <w:rPr>
                <w:rFonts w:cs="Calibri"/>
                <w:szCs w:val="22"/>
              </w:rPr>
              <w:t>ano</w:t>
            </w:r>
          </w:p>
        </w:tc>
      </w:tr>
      <w:tr w:rsidR="007D7C1F" w:rsidRPr="007D7C1F" w14:paraId="6808052B" w14:textId="77777777" w:rsidTr="007D7C1F">
        <w:trPr>
          <w:trHeight w:val="315"/>
        </w:trPr>
        <w:tc>
          <w:tcPr>
            <w:tcW w:w="1776" w:type="dxa"/>
            <w:tcBorders>
              <w:top w:val="nil"/>
              <w:left w:val="single" w:sz="12" w:space="0" w:color="auto"/>
              <w:bottom w:val="single" w:sz="12" w:space="0" w:color="auto"/>
              <w:right w:val="single" w:sz="8" w:space="0" w:color="auto"/>
            </w:tcBorders>
            <w:shd w:val="clear" w:color="auto" w:fill="auto"/>
            <w:hideMark/>
          </w:tcPr>
          <w:p w14:paraId="4BEE787D"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2217" w:type="dxa"/>
            <w:tcBorders>
              <w:top w:val="nil"/>
              <w:left w:val="nil"/>
              <w:bottom w:val="single" w:sz="12" w:space="0" w:color="auto"/>
              <w:right w:val="single" w:sz="8" w:space="0" w:color="auto"/>
            </w:tcBorders>
            <w:shd w:val="clear" w:color="auto" w:fill="auto"/>
            <w:hideMark/>
          </w:tcPr>
          <w:p w14:paraId="1691436E" w14:textId="77777777" w:rsidR="007D7C1F" w:rsidRPr="007D7C1F" w:rsidRDefault="007D7C1F" w:rsidP="007D7C1F">
            <w:pPr>
              <w:spacing w:after="0" w:line="240" w:lineRule="auto"/>
              <w:rPr>
                <w:rFonts w:cs="Calibri"/>
                <w:szCs w:val="22"/>
              </w:rPr>
            </w:pPr>
            <w:r w:rsidRPr="007D7C1F">
              <w:rPr>
                <w:rFonts w:cs="Calibri"/>
                <w:szCs w:val="22"/>
              </w:rPr>
              <w:t>Barva v odstínech a kombinacích barev černá, šedá, bílá, stříbrná.</w:t>
            </w:r>
          </w:p>
        </w:tc>
        <w:tc>
          <w:tcPr>
            <w:tcW w:w="1351" w:type="dxa"/>
            <w:tcBorders>
              <w:top w:val="nil"/>
              <w:left w:val="nil"/>
              <w:bottom w:val="single" w:sz="12" w:space="0" w:color="auto"/>
              <w:right w:val="double" w:sz="6" w:space="0" w:color="auto"/>
            </w:tcBorders>
            <w:shd w:val="clear" w:color="auto" w:fill="auto"/>
            <w:vAlign w:val="center"/>
            <w:hideMark/>
          </w:tcPr>
          <w:p w14:paraId="5DD49BA4" w14:textId="77777777" w:rsidR="007D7C1F" w:rsidRPr="007D7C1F" w:rsidRDefault="007D7C1F" w:rsidP="007D7C1F">
            <w:pPr>
              <w:spacing w:after="0" w:line="240" w:lineRule="auto"/>
              <w:jc w:val="center"/>
              <w:rPr>
                <w:rFonts w:cs="Calibri"/>
                <w:szCs w:val="22"/>
              </w:rPr>
            </w:pPr>
            <w:r w:rsidRPr="007D7C1F">
              <w:rPr>
                <w:rFonts w:cs="Calibri"/>
                <w:szCs w:val="22"/>
              </w:rPr>
              <w:t> </w:t>
            </w:r>
          </w:p>
        </w:tc>
        <w:tc>
          <w:tcPr>
            <w:tcW w:w="3005" w:type="dxa"/>
            <w:tcBorders>
              <w:top w:val="nil"/>
              <w:left w:val="nil"/>
              <w:bottom w:val="single" w:sz="12" w:space="0" w:color="auto"/>
              <w:right w:val="single" w:sz="8" w:space="0" w:color="auto"/>
            </w:tcBorders>
            <w:shd w:val="clear" w:color="auto" w:fill="auto"/>
            <w:hideMark/>
          </w:tcPr>
          <w:p w14:paraId="4063C3C3" w14:textId="77777777" w:rsidR="007D7C1F" w:rsidRPr="007D7C1F" w:rsidRDefault="007D7C1F" w:rsidP="007D7C1F">
            <w:pPr>
              <w:spacing w:after="0" w:line="240" w:lineRule="auto"/>
              <w:rPr>
                <w:rFonts w:cs="Calibri"/>
                <w:szCs w:val="22"/>
              </w:rPr>
            </w:pPr>
            <w:r w:rsidRPr="007D7C1F">
              <w:rPr>
                <w:rFonts w:cs="Calibri"/>
                <w:szCs w:val="22"/>
              </w:rPr>
              <w:t>ano</w:t>
            </w:r>
          </w:p>
        </w:tc>
        <w:tc>
          <w:tcPr>
            <w:tcW w:w="2693" w:type="dxa"/>
            <w:tcBorders>
              <w:top w:val="nil"/>
              <w:left w:val="double" w:sz="6" w:space="0" w:color="auto"/>
              <w:bottom w:val="single" w:sz="12" w:space="0" w:color="auto"/>
              <w:right w:val="single" w:sz="8" w:space="0" w:color="auto"/>
            </w:tcBorders>
            <w:shd w:val="clear" w:color="auto" w:fill="auto"/>
            <w:hideMark/>
          </w:tcPr>
          <w:p w14:paraId="4E59D9DE" w14:textId="77777777" w:rsidR="007D7C1F" w:rsidRPr="007D7C1F" w:rsidRDefault="007D7C1F" w:rsidP="007D7C1F">
            <w:pPr>
              <w:spacing w:after="0" w:line="240" w:lineRule="auto"/>
              <w:rPr>
                <w:rFonts w:cs="Calibri"/>
                <w:szCs w:val="22"/>
              </w:rPr>
            </w:pPr>
            <w:r w:rsidRPr="007D7C1F">
              <w:rPr>
                <w:rFonts w:cs="Calibri"/>
                <w:szCs w:val="22"/>
              </w:rPr>
              <w:t>ano</w:t>
            </w:r>
          </w:p>
        </w:tc>
      </w:tr>
    </w:tbl>
    <w:p w14:paraId="1DFD0D01" w14:textId="77777777" w:rsidR="00E63721" w:rsidRDefault="00E63721" w:rsidP="00CB4254">
      <w:pPr>
        <w:pStyle w:val="RLProhlensmluvnchstran"/>
        <w:rPr>
          <w:rFonts w:ascii="Arial" w:hAnsi="Arial" w:cs="Arial"/>
          <w:szCs w:val="22"/>
        </w:rPr>
      </w:pPr>
    </w:p>
    <w:p w14:paraId="0FE89C49" w14:textId="77777777" w:rsidR="00E63721" w:rsidRPr="00F86725" w:rsidRDefault="00E63721" w:rsidP="00CB4254">
      <w:pPr>
        <w:pStyle w:val="RLProhlensmluvnchstran"/>
        <w:rPr>
          <w:rFonts w:ascii="Arial" w:hAnsi="Arial" w:cs="Arial"/>
          <w:szCs w:val="22"/>
        </w:rPr>
      </w:pPr>
    </w:p>
    <w:p w14:paraId="69C0437B" w14:textId="77777777" w:rsidR="00E63721" w:rsidRPr="00F86725" w:rsidRDefault="00E63721" w:rsidP="00CB4254">
      <w:pPr>
        <w:pStyle w:val="RLProhlensmluvnchstran"/>
        <w:rPr>
          <w:rFonts w:ascii="Arial" w:hAnsi="Arial" w:cs="Arial"/>
          <w:szCs w:val="22"/>
        </w:rPr>
      </w:pPr>
    </w:p>
    <w:p w14:paraId="0FE9B0E9" w14:textId="77777777" w:rsidR="00E63721" w:rsidRPr="00F86725" w:rsidRDefault="00E63721" w:rsidP="00CB4254">
      <w:pPr>
        <w:pStyle w:val="RLProhlensmluvnchstran"/>
        <w:rPr>
          <w:rFonts w:ascii="Arial" w:hAnsi="Arial" w:cs="Arial"/>
          <w:szCs w:val="22"/>
        </w:rPr>
        <w:sectPr w:rsidR="00E63721" w:rsidRPr="00F86725" w:rsidSect="007D7C1F">
          <w:footerReference w:type="default" r:id="rId15"/>
          <w:pgSz w:w="16838" w:h="11906" w:orient="landscape"/>
          <w:pgMar w:top="1418" w:right="1418" w:bottom="1418" w:left="1418" w:header="709" w:footer="709" w:gutter="0"/>
          <w:cols w:space="708"/>
          <w:docGrid w:linePitch="360"/>
        </w:sectPr>
      </w:pPr>
    </w:p>
    <w:p w14:paraId="13348B5A" w14:textId="77777777" w:rsidR="00E63721" w:rsidRPr="00F86725" w:rsidRDefault="00E63721" w:rsidP="00764C0A">
      <w:pPr>
        <w:pStyle w:val="RLProhlensmluvnchstran"/>
        <w:jc w:val="left"/>
        <w:rPr>
          <w:rFonts w:ascii="Arial" w:hAnsi="Arial" w:cs="Arial"/>
          <w:szCs w:val="22"/>
        </w:rPr>
      </w:pPr>
      <w:bookmarkStart w:id="19" w:name="Annex02"/>
      <w:r w:rsidRPr="00F86725">
        <w:rPr>
          <w:rFonts w:ascii="Arial" w:hAnsi="Arial" w:cs="Arial"/>
          <w:szCs w:val="22"/>
        </w:rPr>
        <w:lastRenderedPageBreak/>
        <w:t>Příloha č. 2</w:t>
      </w:r>
      <w:r w:rsidR="008D2575">
        <w:rPr>
          <w:rFonts w:ascii="Arial" w:hAnsi="Arial" w:cs="Arial"/>
          <w:szCs w:val="22"/>
        </w:rPr>
        <w:t xml:space="preserve"> Sml – Cena Zboží</w:t>
      </w:r>
    </w:p>
    <w:bookmarkEnd w:id="19"/>
    <w:p w14:paraId="61D2B1B8" w14:textId="77777777" w:rsidR="00E63721" w:rsidRPr="00F86725" w:rsidRDefault="00E63721" w:rsidP="00C10DD5">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14:paraId="6AF8B842" w14:textId="77777777" w:rsidR="00E63721" w:rsidRDefault="00E63721" w:rsidP="00C10DD5">
      <w:pPr>
        <w:pStyle w:val="RLProhlensmluvnchstran"/>
        <w:rPr>
          <w:rFonts w:ascii="Arial" w:hAnsi="Arial" w:cs="Arial"/>
          <w:bCs/>
          <w:color w:val="000000"/>
          <w:szCs w:val="22"/>
          <w:highlight w:val="yellow"/>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780"/>
        <w:gridCol w:w="1350"/>
        <w:gridCol w:w="1832"/>
        <w:gridCol w:w="1275"/>
        <w:gridCol w:w="2552"/>
      </w:tblGrid>
      <w:tr w:rsidR="007D7C1F" w:rsidRPr="007D7C1F" w14:paraId="30B92C8B" w14:textId="77777777" w:rsidTr="007D7C1F">
        <w:trPr>
          <w:trHeight w:val="510"/>
        </w:trPr>
        <w:tc>
          <w:tcPr>
            <w:tcW w:w="1701" w:type="dxa"/>
            <w:shd w:val="clear" w:color="000000" w:fill="D9D9D9"/>
            <w:noWrap/>
            <w:vAlign w:val="center"/>
            <w:hideMark/>
          </w:tcPr>
          <w:p w14:paraId="0A18BEBC" w14:textId="77777777" w:rsidR="007D7C1F" w:rsidRPr="007D7C1F" w:rsidRDefault="007D7C1F" w:rsidP="007D7C1F">
            <w:pPr>
              <w:spacing w:after="0" w:line="240" w:lineRule="auto"/>
              <w:jc w:val="center"/>
              <w:rPr>
                <w:rFonts w:cs="Calibri"/>
                <w:b/>
                <w:bCs/>
                <w:sz w:val="20"/>
                <w:szCs w:val="20"/>
              </w:rPr>
            </w:pPr>
            <w:r w:rsidRPr="007D7C1F">
              <w:rPr>
                <w:rFonts w:cs="Calibri"/>
                <w:b/>
                <w:bCs/>
                <w:sz w:val="20"/>
                <w:szCs w:val="20"/>
              </w:rPr>
              <w:t xml:space="preserve">Název </w:t>
            </w:r>
          </w:p>
        </w:tc>
        <w:tc>
          <w:tcPr>
            <w:tcW w:w="1780" w:type="dxa"/>
            <w:shd w:val="clear" w:color="000000" w:fill="D9D9D9"/>
            <w:noWrap/>
            <w:vAlign w:val="center"/>
            <w:hideMark/>
          </w:tcPr>
          <w:p w14:paraId="7259E0C0" w14:textId="77777777" w:rsidR="007D7C1F" w:rsidRPr="007D7C1F" w:rsidRDefault="007D7C1F" w:rsidP="007D7C1F">
            <w:pPr>
              <w:spacing w:after="0" w:line="240" w:lineRule="auto"/>
              <w:jc w:val="center"/>
              <w:rPr>
                <w:rFonts w:cs="Calibri"/>
                <w:b/>
                <w:bCs/>
                <w:sz w:val="20"/>
                <w:szCs w:val="20"/>
              </w:rPr>
            </w:pPr>
            <w:r w:rsidRPr="007D7C1F">
              <w:rPr>
                <w:rFonts w:cs="Calibri"/>
                <w:b/>
                <w:bCs/>
                <w:sz w:val="20"/>
                <w:szCs w:val="20"/>
              </w:rPr>
              <w:t>Počet kusů</w:t>
            </w:r>
          </w:p>
        </w:tc>
        <w:tc>
          <w:tcPr>
            <w:tcW w:w="1350" w:type="dxa"/>
            <w:shd w:val="clear" w:color="000000" w:fill="D9D9D9"/>
            <w:vAlign w:val="center"/>
            <w:hideMark/>
          </w:tcPr>
          <w:p w14:paraId="7D101743" w14:textId="77777777" w:rsidR="007D7C1F" w:rsidRPr="007D7C1F" w:rsidRDefault="007D7C1F" w:rsidP="007D7C1F">
            <w:pPr>
              <w:spacing w:after="0" w:line="240" w:lineRule="auto"/>
              <w:jc w:val="center"/>
              <w:rPr>
                <w:rFonts w:cs="Calibri"/>
                <w:b/>
                <w:bCs/>
                <w:sz w:val="20"/>
                <w:szCs w:val="20"/>
              </w:rPr>
            </w:pPr>
            <w:r w:rsidRPr="007D7C1F">
              <w:rPr>
                <w:rFonts w:cs="Calibri"/>
                <w:b/>
                <w:bCs/>
                <w:sz w:val="20"/>
                <w:szCs w:val="20"/>
              </w:rPr>
              <w:t>Cena za mj v Kč bez DPH</w:t>
            </w:r>
          </w:p>
        </w:tc>
        <w:tc>
          <w:tcPr>
            <w:tcW w:w="1832" w:type="dxa"/>
            <w:shd w:val="clear" w:color="000000" w:fill="D9D9D9"/>
            <w:vAlign w:val="center"/>
            <w:hideMark/>
          </w:tcPr>
          <w:p w14:paraId="6D596CBC" w14:textId="77777777" w:rsidR="007D7C1F" w:rsidRPr="007D7C1F" w:rsidRDefault="007D7C1F" w:rsidP="007D7C1F">
            <w:pPr>
              <w:spacing w:after="0" w:line="240" w:lineRule="auto"/>
              <w:jc w:val="center"/>
              <w:rPr>
                <w:rFonts w:cs="Calibri"/>
                <w:b/>
                <w:bCs/>
                <w:sz w:val="20"/>
                <w:szCs w:val="20"/>
              </w:rPr>
            </w:pPr>
            <w:r w:rsidRPr="007D7C1F">
              <w:rPr>
                <w:rFonts w:cs="Calibri"/>
                <w:b/>
                <w:bCs/>
                <w:sz w:val="20"/>
                <w:szCs w:val="20"/>
              </w:rPr>
              <w:t>Cena za požadovaný počet ks v Kč bez DPH</w:t>
            </w:r>
          </w:p>
        </w:tc>
        <w:tc>
          <w:tcPr>
            <w:tcW w:w="1275" w:type="dxa"/>
            <w:shd w:val="clear" w:color="000000" w:fill="D9D9D9"/>
            <w:vAlign w:val="center"/>
            <w:hideMark/>
          </w:tcPr>
          <w:p w14:paraId="1AAD4AD5" w14:textId="77777777" w:rsidR="007D7C1F" w:rsidRPr="007D7C1F" w:rsidRDefault="007D7C1F" w:rsidP="007D7C1F">
            <w:pPr>
              <w:spacing w:after="0" w:line="240" w:lineRule="auto"/>
              <w:jc w:val="center"/>
              <w:rPr>
                <w:rFonts w:cs="Calibri"/>
                <w:b/>
                <w:bCs/>
                <w:sz w:val="20"/>
                <w:szCs w:val="20"/>
              </w:rPr>
            </w:pPr>
            <w:r w:rsidRPr="007D7C1F">
              <w:rPr>
                <w:rFonts w:cs="Calibri"/>
                <w:b/>
                <w:bCs/>
                <w:sz w:val="20"/>
                <w:szCs w:val="20"/>
              </w:rPr>
              <w:t>DPH 21%</w:t>
            </w:r>
          </w:p>
        </w:tc>
        <w:tc>
          <w:tcPr>
            <w:tcW w:w="2552" w:type="dxa"/>
            <w:shd w:val="clear" w:color="000000" w:fill="D9D9D9"/>
            <w:vAlign w:val="center"/>
            <w:hideMark/>
          </w:tcPr>
          <w:p w14:paraId="051C7B77" w14:textId="77777777" w:rsidR="007D7C1F" w:rsidRPr="007D7C1F" w:rsidRDefault="007D7C1F" w:rsidP="007D7C1F">
            <w:pPr>
              <w:spacing w:after="0" w:line="240" w:lineRule="auto"/>
              <w:jc w:val="center"/>
              <w:rPr>
                <w:rFonts w:cs="Calibri"/>
                <w:b/>
                <w:bCs/>
                <w:sz w:val="20"/>
                <w:szCs w:val="20"/>
              </w:rPr>
            </w:pPr>
            <w:r w:rsidRPr="007D7C1F">
              <w:rPr>
                <w:rFonts w:cs="Calibri"/>
                <w:b/>
                <w:bCs/>
                <w:sz w:val="20"/>
                <w:szCs w:val="20"/>
              </w:rPr>
              <w:t>Cena za požadovaný počet ks v Kč včetně DPH</w:t>
            </w:r>
          </w:p>
        </w:tc>
      </w:tr>
      <w:tr w:rsidR="007D7C1F" w:rsidRPr="007D7C1F" w14:paraId="4D2414DD" w14:textId="77777777" w:rsidTr="007D7C1F">
        <w:trPr>
          <w:trHeight w:val="975"/>
        </w:trPr>
        <w:tc>
          <w:tcPr>
            <w:tcW w:w="1701" w:type="dxa"/>
            <w:shd w:val="clear" w:color="auto" w:fill="auto"/>
            <w:noWrap/>
            <w:vAlign w:val="center"/>
            <w:hideMark/>
          </w:tcPr>
          <w:p w14:paraId="4AEE9FB2" w14:textId="77777777" w:rsidR="007D7C1F" w:rsidRPr="007D7C1F" w:rsidRDefault="007D7C1F" w:rsidP="007D7C1F">
            <w:pPr>
              <w:spacing w:after="0" w:line="240" w:lineRule="auto"/>
              <w:jc w:val="center"/>
              <w:rPr>
                <w:rFonts w:cs="Calibri"/>
                <w:color w:val="000000"/>
                <w:szCs w:val="22"/>
              </w:rPr>
            </w:pPr>
            <w:r w:rsidRPr="007D7C1F">
              <w:rPr>
                <w:rFonts w:cs="Calibri"/>
                <w:color w:val="000000"/>
                <w:szCs w:val="22"/>
              </w:rPr>
              <w:t>Monitor M 01</w:t>
            </w:r>
          </w:p>
        </w:tc>
        <w:tc>
          <w:tcPr>
            <w:tcW w:w="1780" w:type="dxa"/>
            <w:shd w:val="clear" w:color="auto" w:fill="auto"/>
            <w:noWrap/>
            <w:vAlign w:val="bottom"/>
            <w:hideMark/>
          </w:tcPr>
          <w:p w14:paraId="3F714947" w14:textId="2E314E2C" w:rsidR="007D7C1F" w:rsidRPr="007D7C1F" w:rsidRDefault="007D7C1F" w:rsidP="007D7C1F">
            <w:pPr>
              <w:spacing w:after="0" w:line="240" w:lineRule="auto"/>
              <w:rPr>
                <w:rFonts w:cs="Calibri"/>
                <w:color w:val="000000"/>
                <w:szCs w:val="22"/>
              </w:rPr>
            </w:pPr>
            <w:r w:rsidRPr="007D7C1F">
              <w:rPr>
                <w:rFonts w:cs="Calibri"/>
                <w:noProof/>
                <w:color w:val="000000"/>
                <w:szCs w:val="22"/>
              </w:rPr>
              <mc:AlternateContent>
                <mc:Choice Requires="wps">
                  <w:drawing>
                    <wp:anchor distT="0" distB="0" distL="114300" distR="114300" simplePos="0" relativeHeight="251664384" behindDoc="0" locked="0" layoutInCell="1" allowOverlap="1" wp14:anchorId="68406969" wp14:editId="533B8A31">
                      <wp:simplePos x="0" y="0"/>
                      <wp:positionH relativeFrom="column">
                        <wp:posOffset>0</wp:posOffset>
                      </wp:positionH>
                      <wp:positionV relativeFrom="paragraph">
                        <wp:posOffset>0</wp:posOffset>
                      </wp:positionV>
                      <wp:extent cx="190500" cy="266700"/>
                      <wp:effectExtent l="0" t="0" r="0" b="0"/>
                      <wp:wrapNone/>
                      <wp:docPr id="2" name="Textové pol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0845B215" id="_x0000_t202" coordsize="21600,21600" o:spt="202" path="m,l,21600r21600,l21600,xe">
                      <v:stroke joinstyle="miter"/>
                      <v:path gradientshapeok="t" o:connecttype="rect"/>
                    </v:shapetype>
                    <v:shape id="Textové pole 2" o:spid="_x0000_s1026" type="#_x0000_t202" style="position:absolute;margin-left:0;margin-top:0;width:1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40"/>
            </w:tblGrid>
            <w:tr w:rsidR="007D7C1F" w:rsidRPr="007D7C1F" w14:paraId="5A77427C" w14:textId="77777777">
              <w:trPr>
                <w:trHeight w:val="975"/>
                <w:tblCellSpacing w:w="0" w:type="dxa"/>
              </w:trPr>
              <w:tc>
                <w:tcPr>
                  <w:tcW w:w="1640" w:type="dxa"/>
                  <w:tcBorders>
                    <w:top w:val="nil"/>
                    <w:left w:val="nil"/>
                    <w:bottom w:val="nil"/>
                    <w:right w:val="nil"/>
                  </w:tcBorders>
                  <w:shd w:val="clear" w:color="auto" w:fill="auto"/>
                  <w:noWrap/>
                  <w:vAlign w:val="center"/>
                  <w:hideMark/>
                </w:tcPr>
                <w:p w14:paraId="78150BEC" w14:textId="77777777" w:rsidR="007D7C1F" w:rsidRPr="007D7C1F" w:rsidRDefault="007D7C1F" w:rsidP="007D7C1F">
                  <w:pPr>
                    <w:spacing w:after="0" w:line="240" w:lineRule="auto"/>
                    <w:jc w:val="center"/>
                    <w:rPr>
                      <w:rFonts w:cs="Calibri"/>
                      <w:color w:val="000000"/>
                      <w:szCs w:val="22"/>
                    </w:rPr>
                  </w:pPr>
                  <w:r w:rsidRPr="007D7C1F">
                    <w:rPr>
                      <w:rFonts w:cs="Calibri"/>
                      <w:color w:val="000000"/>
                      <w:szCs w:val="22"/>
                    </w:rPr>
                    <w:t>230</w:t>
                  </w:r>
                </w:p>
              </w:tc>
            </w:tr>
          </w:tbl>
          <w:p w14:paraId="2C3E82AA" w14:textId="77777777" w:rsidR="007D7C1F" w:rsidRPr="007D7C1F" w:rsidRDefault="007D7C1F" w:rsidP="007D7C1F">
            <w:pPr>
              <w:spacing w:after="0" w:line="240" w:lineRule="auto"/>
              <w:rPr>
                <w:rFonts w:cs="Calibri"/>
                <w:color w:val="000000"/>
                <w:szCs w:val="22"/>
              </w:rPr>
            </w:pPr>
          </w:p>
        </w:tc>
        <w:tc>
          <w:tcPr>
            <w:tcW w:w="1350" w:type="dxa"/>
            <w:shd w:val="clear" w:color="000000" w:fill="FFFF00"/>
            <w:noWrap/>
            <w:vAlign w:val="center"/>
            <w:hideMark/>
          </w:tcPr>
          <w:p w14:paraId="752771A5" w14:textId="77777777" w:rsidR="007D7C1F" w:rsidRPr="007D7C1F" w:rsidRDefault="007D7C1F" w:rsidP="007D7C1F">
            <w:pPr>
              <w:spacing w:after="0" w:line="240" w:lineRule="auto"/>
              <w:jc w:val="center"/>
              <w:rPr>
                <w:rFonts w:cs="Calibri"/>
                <w:b/>
                <w:bCs/>
                <w:sz w:val="20"/>
                <w:szCs w:val="20"/>
              </w:rPr>
            </w:pPr>
            <w:r w:rsidRPr="007D7C1F">
              <w:rPr>
                <w:rFonts w:cs="Calibri"/>
                <w:b/>
                <w:bCs/>
                <w:sz w:val="20"/>
                <w:szCs w:val="20"/>
              </w:rPr>
              <w:t>3220,00</w:t>
            </w:r>
          </w:p>
        </w:tc>
        <w:tc>
          <w:tcPr>
            <w:tcW w:w="1832" w:type="dxa"/>
            <w:shd w:val="clear" w:color="000000" w:fill="FFFF00"/>
            <w:noWrap/>
            <w:vAlign w:val="center"/>
            <w:hideMark/>
          </w:tcPr>
          <w:p w14:paraId="053FC87F" w14:textId="77777777" w:rsidR="007D7C1F" w:rsidRPr="007D7C1F" w:rsidRDefault="007D7C1F" w:rsidP="007D7C1F">
            <w:pPr>
              <w:spacing w:after="0" w:line="240" w:lineRule="auto"/>
              <w:jc w:val="center"/>
              <w:rPr>
                <w:rFonts w:cs="Calibri"/>
                <w:b/>
                <w:bCs/>
                <w:sz w:val="20"/>
                <w:szCs w:val="20"/>
              </w:rPr>
            </w:pPr>
            <w:r w:rsidRPr="007D7C1F">
              <w:rPr>
                <w:rFonts w:cs="Calibri"/>
                <w:b/>
                <w:bCs/>
                <w:sz w:val="20"/>
                <w:szCs w:val="20"/>
              </w:rPr>
              <w:t>740600,00</w:t>
            </w:r>
          </w:p>
        </w:tc>
        <w:tc>
          <w:tcPr>
            <w:tcW w:w="1275" w:type="dxa"/>
            <w:shd w:val="clear" w:color="000000" w:fill="FFFF00"/>
            <w:noWrap/>
            <w:vAlign w:val="center"/>
            <w:hideMark/>
          </w:tcPr>
          <w:p w14:paraId="7AFB65DB" w14:textId="77777777" w:rsidR="007D7C1F" w:rsidRPr="007D7C1F" w:rsidRDefault="007D7C1F" w:rsidP="007D7C1F">
            <w:pPr>
              <w:spacing w:after="0" w:line="240" w:lineRule="auto"/>
              <w:jc w:val="center"/>
              <w:rPr>
                <w:rFonts w:cs="Calibri"/>
                <w:b/>
                <w:bCs/>
                <w:sz w:val="20"/>
                <w:szCs w:val="20"/>
              </w:rPr>
            </w:pPr>
            <w:r w:rsidRPr="007D7C1F">
              <w:rPr>
                <w:rFonts w:cs="Calibri"/>
                <w:b/>
                <w:bCs/>
                <w:sz w:val="20"/>
                <w:szCs w:val="20"/>
              </w:rPr>
              <w:t>155526,00</w:t>
            </w:r>
          </w:p>
        </w:tc>
        <w:tc>
          <w:tcPr>
            <w:tcW w:w="2552" w:type="dxa"/>
            <w:shd w:val="clear" w:color="000000" w:fill="FFFF00"/>
            <w:noWrap/>
            <w:vAlign w:val="center"/>
            <w:hideMark/>
          </w:tcPr>
          <w:p w14:paraId="197F8BD4" w14:textId="77777777" w:rsidR="007D7C1F" w:rsidRPr="007D7C1F" w:rsidRDefault="007D7C1F" w:rsidP="007D7C1F">
            <w:pPr>
              <w:spacing w:after="0" w:line="240" w:lineRule="auto"/>
              <w:jc w:val="center"/>
              <w:rPr>
                <w:rFonts w:cs="Calibri"/>
                <w:b/>
                <w:bCs/>
                <w:sz w:val="20"/>
                <w:szCs w:val="20"/>
              </w:rPr>
            </w:pPr>
            <w:r w:rsidRPr="007D7C1F">
              <w:rPr>
                <w:rFonts w:cs="Calibri"/>
                <w:b/>
                <w:bCs/>
                <w:sz w:val="20"/>
                <w:szCs w:val="20"/>
              </w:rPr>
              <w:t>896126,00</w:t>
            </w:r>
          </w:p>
        </w:tc>
      </w:tr>
    </w:tbl>
    <w:p w14:paraId="04FCEEC6" w14:textId="77777777" w:rsidR="00764C0A" w:rsidRDefault="00764C0A" w:rsidP="001D2B37">
      <w:pPr>
        <w:pStyle w:val="RLProhlensmluvnchstran"/>
        <w:rPr>
          <w:rFonts w:ascii="Arial" w:hAnsi="Arial" w:cs="Arial"/>
          <w:szCs w:val="22"/>
        </w:rPr>
      </w:pPr>
    </w:p>
    <w:p w14:paraId="7660D720" w14:textId="77777777" w:rsidR="00764C0A" w:rsidRDefault="00764C0A" w:rsidP="001D2B37">
      <w:pPr>
        <w:pStyle w:val="RLProhlensmluvnchstran"/>
        <w:rPr>
          <w:rFonts w:ascii="Arial" w:hAnsi="Arial" w:cs="Arial"/>
          <w:szCs w:val="22"/>
        </w:rPr>
      </w:pPr>
    </w:p>
    <w:p w14:paraId="7C29E57A" w14:textId="77777777" w:rsidR="00764C0A" w:rsidRDefault="00764C0A" w:rsidP="001D2B37">
      <w:pPr>
        <w:pStyle w:val="RLProhlensmluvnchstran"/>
        <w:rPr>
          <w:rFonts w:ascii="Arial" w:hAnsi="Arial" w:cs="Arial"/>
          <w:szCs w:val="22"/>
        </w:rPr>
      </w:pPr>
    </w:p>
    <w:p w14:paraId="6E556716" w14:textId="77777777" w:rsidR="00764C0A" w:rsidRDefault="00764C0A" w:rsidP="001D2B37">
      <w:pPr>
        <w:pStyle w:val="RLProhlensmluvnchstran"/>
        <w:rPr>
          <w:rFonts w:ascii="Arial" w:hAnsi="Arial" w:cs="Arial"/>
          <w:szCs w:val="22"/>
        </w:rPr>
      </w:pPr>
    </w:p>
    <w:p w14:paraId="5D60BB3D" w14:textId="77777777" w:rsidR="00764C0A" w:rsidRDefault="00764C0A" w:rsidP="001D2B37">
      <w:pPr>
        <w:pStyle w:val="RLProhlensmluvnchstran"/>
        <w:rPr>
          <w:rFonts w:ascii="Arial" w:hAnsi="Arial" w:cs="Arial"/>
          <w:szCs w:val="22"/>
        </w:rPr>
      </w:pPr>
    </w:p>
    <w:p w14:paraId="62FC03ED" w14:textId="77777777" w:rsidR="00764C0A" w:rsidRDefault="00764C0A" w:rsidP="001D2B37">
      <w:pPr>
        <w:pStyle w:val="RLProhlensmluvnchstran"/>
        <w:rPr>
          <w:rFonts w:ascii="Arial" w:hAnsi="Arial" w:cs="Arial"/>
          <w:szCs w:val="22"/>
        </w:rPr>
      </w:pPr>
    </w:p>
    <w:p w14:paraId="792F8318" w14:textId="77777777" w:rsidR="00764C0A" w:rsidRDefault="00764C0A" w:rsidP="001D2B37">
      <w:pPr>
        <w:pStyle w:val="RLProhlensmluvnchstran"/>
        <w:rPr>
          <w:rFonts w:ascii="Arial" w:hAnsi="Arial" w:cs="Arial"/>
          <w:szCs w:val="22"/>
        </w:rPr>
      </w:pPr>
    </w:p>
    <w:p w14:paraId="2EC5346B" w14:textId="77777777" w:rsidR="00764C0A" w:rsidRDefault="00764C0A" w:rsidP="001D2B37">
      <w:pPr>
        <w:pStyle w:val="RLProhlensmluvnchstran"/>
        <w:rPr>
          <w:rFonts w:ascii="Arial" w:hAnsi="Arial" w:cs="Arial"/>
          <w:szCs w:val="22"/>
        </w:rPr>
      </w:pPr>
    </w:p>
    <w:p w14:paraId="5E78BAB8" w14:textId="77777777" w:rsidR="00764C0A" w:rsidRDefault="00764C0A" w:rsidP="001D2B37">
      <w:pPr>
        <w:pStyle w:val="RLProhlensmluvnchstran"/>
        <w:rPr>
          <w:rFonts w:ascii="Arial" w:hAnsi="Arial" w:cs="Arial"/>
          <w:szCs w:val="22"/>
        </w:rPr>
      </w:pPr>
    </w:p>
    <w:p w14:paraId="58A01A7B" w14:textId="77777777" w:rsidR="00764C0A" w:rsidRDefault="00764C0A" w:rsidP="001D2B37">
      <w:pPr>
        <w:pStyle w:val="RLProhlensmluvnchstran"/>
        <w:rPr>
          <w:rFonts w:ascii="Arial" w:hAnsi="Arial" w:cs="Arial"/>
          <w:szCs w:val="22"/>
        </w:rPr>
      </w:pPr>
    </w:p>
    <w:p w14:paraId="1124C145" w14:textId="77777777" w:rsidR="00764C0A" w:rsidRDefault="00764C0A" w:rsidP="001D2B37">
      <w:pPr>
        <w:pStyle w:val="RLProhlensmluvnchstran"/>
        <w:rPr>
          <w:rFonts w:ascii="Arial" w:hAnsi="Arial" w:cs="Arial"/>
          <w:szCs w:val="22"/>
        </w:rPr>
      </w:pPr>
    </w:p>
    <w:p w14:paraId="4A172CB6" w14:textId="77777777" w:rsidR="00764C0A" w:rsidRDefault="00764C0A" w:rsidP="001D2B37">
      <w:pPr>
        <w:pStyle w:val="RLProhlensmluvnchstran"/>
        <w:rPr>
          <w:rFonts w:ascii="Arial" w:hAnsi="Arial" w:cs="Arial"/>
          <w:szCs w:val="22"/>
        </w:rPr>
      </w:pPr>
    </w:p>
    <w:p w14:paraId="761B283E" w14:textId="77777777" w:rsidR="00764C0A" w:rsidRDefault="00764C0A" w:rsidP="001D2B37">
      <w:pPr>
        <w:pStyle w:val="RLProhlensmluvnchstran"/>
        <w:rPr>
          <w:rFonts w:ascii="Arial" w:hAnsi="Arial" w:cs="Arial"/>
          <w:szCs w:val="22"/>
        </w:rPr>
      </w:pPr>
    </w:p>
    <w:p w14:paraId="0AE3C278" w14:textId="77777777" w:rsidR="00764C0A" w:rsidRDefault="00764C0A" w:rsidP="001D2B37">
      <w:pPr>
        <w:pStyle w:val="RLProhlensmluvnchstran"/>
        <w:rPr>
          <w:rFonts w:ascii="Arial" w:hAnsi="Arial" w:cs="Arial"/>
          <w:szCs w:val="22"/>
        </w:rPr>
      </w:pPr>
    </w:p>
    <w:p w14:paraId="5EA83774" w14:textId="77777777" w:rsidR="00764C0A" w:rsidRDefault="00764C0A" w:rsidP="001D2B37">
      <w:pPr>
        <w:pStyle w:val="RLProhlensmluvnchstran"/>
        <w:rPr>
          <w:rFonts w:ascii="Arial" w:hAnsi="Arial" w:cs="Arial"/>
          <w:szCs w:val="22"/>
        </w:rPr>
      </w:pPr>
    </w:p>
    <w:p w14:paraId="76645061" w14:textId="77777777" w:rsidR="00764C0A" w:rsidRDefault="00764C0A" w:rsidP="001D2B37">
      <w:pPr>
        <w:pStyle w:val="RLProhlensmluvnchstran"/>
        <w:rPr>
          <w:rFonts w:ascii="Arial" w:hAnsi="Arial" w:cs="Arial"/>
          <w:szCs w:val="22"/>
        </w:rPr>
      </w:pPr>
    </w:p>
    <w:p w14:paraId="016C8105" w14:textId="77777777" w:rsidR="00764C0A" w:rsidRDefault="00764C0A" w:rsidP="001D2B37">
      <w:pPr>
        <w:pStyle w:val="RLProhlensmluvnchstran"/>
        <w:rPr>
          <w:rFonts w:ascii="Arial" w:hAnsi="Arial" w:cs="Arial"/>
          <w:szCs w:val="22"/>
        </w:rPr>
      </w:pPr>
    </w:p>
    <w:p w14:paraId="3A9E3FF5" w14:textId="77777777" w:rsidR="00764C0A" w:rsidRDefault="00764C0A" w:rsidP="001D2B37">
      <w:pPr>
        <w:pStyle w:val="RLProhlensmluvnchstran"/>
        <w:rPr>
          <w:rFonts w:ascii="Arial" w:hAnsi="Arial" w:cs="Arial"/>
          <w:szCs w:val="22"/>
        </w:rPr>
      </w:pPr>
    </w:p>
    <w:p w14:paraId="64087B1C" w14:textId="77777777" w:rsidR="00764C0A" w:rsidRDefault="00764C0A" w:rsidP="001D2B37">
      <w:pPr>
        <w:pStyle w:val="RLProhlensmluvnchstran"/>
        <w:rPr>
          <w:rFonts w:ascii="Arial" w:hAnsi="Arial" w:cs="Arial"/>
          <w:szCs w:val="22"/>
        </w:rPr>
      </w:pPr>
    </w:p>
    <w:p w14:paraId="3467D610" w14:textId="77777777" w:rsidR="00764C0A" w:rsidRDefault="00764C0A" w:rsidP="001D2B37">
      <w:pPr>
        <w:pStyle w:val="RLProhlensmluvnchstran"/>
        <w:rPr>
          <w:rFonts w:ascii="Arial" w:hAnsi="Arial" w:cs="Arial"/>
          <w:szCs w:val="22"/>
        </w:rPr>
      </w:pPr>
    </w:p>
    <w:p w14:paraId="0E8BE514" w14:textId="77777777" w:rsidR="00223104" w:rsidRDefault="00223104" w:rsidP="001D2B37">
      <w:pPr>
        <w:pStyle w:val="RLProhlensmluvnchstran"/>
        <w:rPr>
          <w:rFonts w:ascii="Arial" w:hAnsi="Arial" w:cs="Arial"/>
          <w:szCs w:val="22"/>
        </w:rPr>
      </w:pPr>
    </w:p>
    <w:p w14:paraId="27DFEBC3" w14:textId="77777777" w:rsidR="00223104" w:rsidRDefault="00223104" w:rsidP="001D2B37">
      <w:pPr>
        <w:pStyle w:val="RLProhlensmluvnchstran"/>
        <w:rPr>
          <w:rFonts w:ascii="Arial" w:hAnsi="Arial" w:cs="Arial"/>
          <w:szCs w:val="22"/>
        </w:rPr>
      </w:pPr>
    </w:p>
    <w:p w14:paraId="546453DB" w14:textId="77777777" w:rsidR="00223104" w:rsidRDefault="00223104" w:rsidP="001D2B37">
      <w:pPr>
        <w:pStyle w:val="RLProhlensmluvnchstran"/>
        <w:rPr>
          <w:rFonts w:ascii="Arial" w:hAnsi="Arial" w:cs="Arial"/>
          <w:szCs w:val="22"/>
        </w:rPr>
      </w:pPr>
    </w:p>
    <w:p w14:paraId="27F1E55B" w14:textId="77777777" w:rsidR="00764C0A" w:rsidRDefault="00764C0A" w:rsidP="001D2B37">
      <w:pPr>
        <w:pStyle w:val="RLProhlensmluvnchstran"/>
        <w:rPr>
          <w:rFonts w:ascii="Arial" w:hAnsi="Arial" w:cs="Arial"/>
          <w:szCs w:val="22"/>
        </w:rPr>
      </w:pPr>
    </w:p>
    <w:p w14:paraId="05F8A403" w14:textId="77777777" w:rsidR="00E63721" w:rsidRDefault="00E63721" w:rsidP="00223104">
      <w:pPr>
        <w:pStyle w:val="RLProhlensmluvnchstran"/>
        <w:jc w:val="left"/>
        <w:rPr>
          <w:rFonts w:ascii="Arial" w:hAnsi="Arial" w:cs="Arial"/>
          <w:szCs w:val="22"/>
        </w:rPr>
      </w:pPr>
      <w:r w:rsidRPr="00F86725">
        <w:rPr>
          <w:rFonts w:ascii="Arial" w:hAnsi="Arial" w:cs="Arial"/>
          <w:szCs w:val="22"/>
        </w:rPr>
        <w:t xml:space="preserve">Příloha č. </w:t>
      </w:r>
      <w:r>
        <w:rPr>
          <w:rFonts w:ascii="Arial" w:hAnsi="Arial" w:cs="Arial"/>
          <w:szCs w:val="22"/>
        </w:rPr>
        <w:t>3</w:t>
      </w:r>
      <w:r w:rsidR="008D2575">
        <w:rPr>
          <w:rFonts w:ascii="Arial" w:hAnsi="Arial" w:cs="Arial"/>
          <w:szCs w:val="22"/>
        </w:rPr>
        <w:t xml:space="preserve"> Sml – Seznam odběrných míst</w:t>
      </w:r>
    </w:p>
    <w:p w14:paraId="2EB8B34D" w14:textId="77777777" w:rsidR="008D2575" w:rsidRPr="00F86725" w:rsidRDefault="008D2575" w:rsidP="00223104">
      <w:pPr>
        <w:pStyle w:val="RLProhlensmluvnchstran"/>
        <w:jc w:val="left"/>
        <w:rPr>
          <w:rFonts w:ascii="Arial" w:hAnsi="Arial" w:cs="Arial"/>
          <w:szCs w:val="22"/>
        </w:rPr>
      </w:pPr>
    </w:p>
    <w:p w14:paraId="7EC34AE4" w14:textId="77777777" w:rsidR="00E63721" w:rsidRPr="00F86725" w:rsidRDefault="00E63721" w:rsidP="001D2B37">
      <w:pPr>
        <w:pStyle w:val="RLProhlensmluvnchstran"/>
        <w:rPr>
          <w:rFonts w:ascii="Arial" w:hAnsi="Arial" w:cs="Arial"/>
          <w:szCs w:val="22"/>
        </w:rPr>
      </w:pPr>
      <w:r>
        <w:rPr>
          <w:rFonts w:ascii="Arial" w:hAnsi="Arial" w:cs="Arial"/>
          <w:szCs w:val="22"/>
        </w:rPr>
        <w:t>Seznam odběrných míst</w:t>
      </w:r>
    </w:p>
    <w:p w14:paraId="251CF654" w14:textId="77777777" w:rsidR="00E63721" w:rsidRDefault="00E63721" w:rsidP="001D2B37">
      <w:pPr>
        <w:pStyle w:val="RLProhlensmluvnchstran"/>
        <w:rPr>
          <w:rFonts w:ascii="Arial" w:hAnsi="Arial" w:cs="Arial"/>
          <w:bCs/>
          <w:color w:val="000000"/>
          <w:szCs w:val="22"/>
          <w:highlight w:val="yellow"/>
        </w:rPr>
      </w:pPr>
    </w:p>
    <w:p w14:paraId="47E35B49" w14:textId="77777777" w:rsidR="00646A81" w:rsidRDefault="00646A81" w:rsidP="00646A81">
      <w:pPr>
        <w:pStyle w:val="RLProhlensmluvnchstran"/>
        <w:rPr>
          <w:rFonts w:ascii="Arial" w:hAnsi="Arial" w:cs="Arial"/>
          <w:bCs/>
          <w:color w:val="000000"/>
          <w:szCs w:val="22"/>
          <w:highlight w:val="yellow"/>
        </w:rPr>
      </w:pPr>
    </w:p>
    <w:p w14:paraId="7831CF51" w14:textId="77777777" w:rsidR="00646A81" w:rsidRDefault="00646A81" w:rsidP="00646A81">
      <w:pPr>
        <w:pStyle w:val="RLProhlensmluvnchstran"/>
        <w:rPr>
          <w:rFonts w:ascii="Arial" w:hAnsi="Arial" w:cs="Arial"/>
          <w:bCs/>
          <w:color w:val="000000"/>
          <w:szCs w:val="22"/>
          <w:highlight w:val="yellow"/>
        </w:rPr>
      </w:pPr>
    </w:p>
    <w:tbl>
      <w:tblPr>
        <w:tblW w:w="9747" w:type="dxa"/>
        <w:tblCellMar>
          <w:left w:w="70" w:type="dxa"/>
          <w:right w:w="70" w:type="dxa"/>
        </w:tblCellMar>
        <w:tblLook w:val="04A0" w:firstRow="1" w:lastRow="0" w:firstColumn="1" w:lastColumn="0" w:noHBand="0" w:noVBand="1"/>
      </w:tblPr>
      <w:tblGrid>
        <w:gridCol w:w="2480"/>
        <w:gridCol w:w="4961"/>
        <w:gridCol w:w="2306"/>
      </w:tblGrid>
      <w:tr w:rsidR="00646A81" w:rsidRPr="00206325" w14:paraId="50CA0B5C" w14:textId="77777777" w:rsidTr="00B70C5C">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B416D" w14:textId="77777777" w:rsidR="00646A81" w:rsidRPr="00206325" w:rsidRDefault="00646A81" w:rsidP="00B70C5C">
            <w:pPr>
              <w:spacing w:after="0" w:line="240" w:lineRule="auto"/>
              <w:jc w:val="center"/>
              <w:rPr>
                <w:b/>
                <w:bCs/>
                <w:color w:val="000000"/>
                <w:szCs w:val="22"/>
              </w:rPr>
            </w:pPr>
            <w:r>
              <w:rPr>
                <w:b/>
                <w:bCs/>
                <w:color w:val="000000"/>
                <w:szCs w:val="22"/>
              </w:rPr>
              <w:t>Zboží</w:t>
            </w:r>
            <w:r w:rsidRPr="00206325">
              <w:rPr>
                <w:b/>
                <w:bCs/>
                <w:color w:val="000000"/>
                <w:szCs w:val="22"/>
              </w:rPr>
              <w:t xml:space="preserve"> dle specifikace</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4139B4C2" w14:textId="77777777" w:rsidR="00646A81" w:rsidRPr="00206325" w:rsidRDefault="00646A81" w:rsidP="00B70C5C">
            <w:pPr>
              <w:spacing w:after="0" w:line="240" w:lineRule="auto"/>
              <w:jc w:val="center"/>
              <w:rPr>
                <w:b/>
                <w:bCs/>
                <w:color w:val="000000"/>
                <w:szCs w:val="22"/>
              </w:rPr>
            </w:pPr>
            <w:r w:rsidRPr="00206325">
              <w:rPr>
                <w:b/>
                <w:bCs/>
                <w:color w:val="000000"/>
                <w:szCs w:val="22"/>
              </w:rPr>
              <w:t>Místa rozvozu + kontakt</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14:paraId="5DD85F3A" w14:textId="77777777" w:rsidR="00646A81" w:rsidRPr="00206325" w:rsidRDefault="00646A81" w:rsidP="00B70C5C">
            <w:pPr>
              <w:spacing w:after="0" w:line="240" w:lineRule="auto"/>
              <w:jc w:val="center"/>
              <w:rPr>
                <w:b/>
                <w:bCs/>
                <w:color w:val="000000"/>
                <w:szCs w:val="22"/>
              </w:rPr>
            </w:pPr>
            <w:r>
              <w:rPr>
                <w:b/>
                <w:bCs/>
                <w:color w:val="000000"/>
                <w:szCs w:val="22"/>
              </w:rPr>
              <w:t>Počty kusů</w:t>
            </w:r>
          </w:p>
        </w:tc>
      </w:tr>
      <w:tr w:rsidR="00646A81" w:rsidRPr="00206325" w14:paraId="4B737EF3" w14:textId="77777777" w:rsidTr="00B70C5C">
        <w:trPr>
          <w:trHeight w:val="39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222B9B6" w14:textId="3324396B" w:rsidR="00646A81" w:rsidRPr="00206325" w:rsidRDefault="007D7C1F" w:rsidP="007D7C1F">
            <w:pPr>
              <w:spacing w:after="0" w:line="240" w:lineRule="auto"/>
              <w:jc w:val="center"/>
              <w:rPr>
                <w:color w:val="000000"/>
                <w:szCs w:val="22"/>
              </w:rPr>
            </w:pPr>
            <w:r>
              <w:rPr>
                <w:color w:val="000000"/>
                <w:szCs w:val="22"/>
              </w:rPr>
              <w:t>Monitor M 01</w:t>
            </w:r>
          </w:p>
        </w:tc>
        <w:tc>
          <w:tcPr>
            <w:tcW w:w="4961" w:type="dxa"/>
            <w:tcBorders>
              <w:top w:val="nil"/>
              <w:left w:val="single" w:sz="4" w:space="0" w:color="auto"/>
              <w:bottom w:val="single" w:sz="4" w:space="0" w:color="000000"/>
              <w:right w:val="single" w:sz="4" w:space="0" w:color="auto"/>
            </w:tcBorders>
            <w:shd w:val="clear" w:color="auto" w:fill="auto"/>
            <w:vAlign w:val="center"/>
            <w:hideMark/>
          </w:tcPr>
          <w:p w14:paraId="0928AE40" w14:textId="4DDCCF8B" w:rsidR="00646A81" w:rsidRPr="00206325" w:rsidRDefault="007D7C1F" w:rsidP="00B70C5C">
            <w:pPr>
              <w:spacing w:after="0" w:line="240" w:lineRule="auto"/>
              <w:jc w:val="center"/>
              <w:rPr>
                <w:color w:val="000000"/>
                <w:szCs w:val="22"/>
              </w:rPr>
            </w:pPr>
            <w:r>
              <w:rPr>
                <w:color w:val="000000"/>
                <w:sz w:val="20"/>
                <w:szCs w:val="20"/>
              </w:rPr>
              <w:t xml:space="preserve">Státní pozemkový úřad, Husinecká 1024/11a, Praha 3 – Žižkov. Petr Husák </w:t>
            </w:r>
            <w:r w:rsidR="00A24CAA">
              <w:rPr>
                <w:color w:val="000000"/>
                <w:sz w:val="20"/>
                <w:szCs w:val="20"/>
              </w:rPr>
              <w:t>XXX</w:t>
            </w:r>
            <w:r>
              <w:rPr>
                <w:color w:val="000000"/>
                <w:sz w:val="20"/>
                <w:szCs w:val="20"/>
              </w:rPr>
              <w:t> </w:t>
            </w:r>
            <w:r w:rsidR="00A24CAA">
              <w:rPr>
                <w:color w:val="000000"/>
                <w:sz w:val="20"/>
                <w:szCs w:val="20"/>
              </w:rPr>
              <w:t>XXX</w:t>
            </w:r>
            <w:r>
              <w:rPr>
                <w:color w:val="000000"/>
                <w:sz w:val="20"/>
                <w:szCs w:val="20"/>
              </w:rPr>
              <w:t xml:space="preserve"> </w:t>
            </w:r>
            <w:r w:rsidR="00A24CAA">
              <w:rPr>
                <w:color w:val="000000"/>
                <w:sz w:val="20"/>
                <w:szCs w:val="20"/>
              </w:rPr>
              <w:t>XXX</w:t>
            </w:r>
          </w:p>
        </w:tc>
        <w:tc>
          <w:tcPr>
            <w:tcW w:w="2306" w:type="dxa"/>
            <w:tcBorders>
              <w:top w:val="nil"/>
              <w:left w:val="nil"/>
              <w:bottom w:val="single" w:sz="4" w:space="0" w:color="auto"/>
              <w:right w:val="single" w:sz="4" w:space="0" w:color="auto"/>
            </w:tcBorders>
            <w:shd w:val="clear" w:color="auto" w:fill="auto"/>
            <w:noWrap/>
            <w:vAlign w:val="bottom"/>
            <w:hideMark/>
          </w:tcPr>
          <w:p w14:paraId="78B178C8" w14:textId="2F60E454" w:rsidR="00646A81" w:rsidRPr="00206325" w:rsidRDefault="007D7C1F" w:rsidP="00B70C5C">
            <w:pPr>
              <w:spacing w:after="0" w:line="240" w:lineRule="auto"/>
              <w:jc w:val="center"/>
              <w:rPr>
                <w:color w:val="000000"/>
                <w:szCs w:val="22"/>
              </w:rPr>
            </w:pPr>
            <w:r>
              <w:rPr>
                <w:color w:val="000000"/>
                <w:szCs w:val="22"/>
              </w:rPr>
              <w:t>230</w:t>
            </w:r>
            <w:r w:rsidR="00646A81" w:rsidRPr="00206325">
              <w:rPr>
                <w:color w:val="000000"/>
                <w:szCs w:val="22"/>
              </w:rPr>
              <w:t> </w:t>
            </w:r>
          </w:p>
        </w:tc>
      </w:tr>
    </w:tbl>
    <w:p w14:paraId="4FCA2A09" w14:textId="77777777" w:rsidR="00223104" w:rsidRPr="00F86725" w:rsidRDefault="00223104" w:rsidP="008A3260">
      <w:pPr>
        <w:pStyle w:val="RLProhlensmluvnchstran"/>
        <w:jc w:val="left"/>
        <w:rPr>
          <w:rFonts w:ascii="Arial" w:hAnsi="Arial" w:cs="Arial"/>
          <w:bCs/>
          <w:color w:val="000000"/>
          <w:szCs w:val="22"/>
          <w:highlight w:val="yellow"/>
        </w:rPr>
      </w:pPr>
    </w:p>
    <w:p w14:paraId="19BB88D1" w14:textId="77777777" w:rsidR="00213BD8" w:rsidRDefault="00213BD8" w:rsidP="00213BD8">
      <w:pPr>
        <w:spacing w:after="0" w:line="276" w:lineRule="auto"/>
        <w:rPr>
          <w:rFonts w:cs="Arial"/>
          <w:b/>
          <w:sz w:val="28"/>
          <w:szCs w:val="28"/>
        </w:rPr>
      </w:pPr>
    </w:p>
    <w:p w14:paraId="4A7C82D5" w14:textId="77777777" w:rsidR="00213BD8" w:rsidRDefault="00213BD8" w:rsidP="00213BD8">
      <w:pPr>
        <w:pStyle w:val="RLnzevsmlouvy"/>
        <w:spacing w:after="0"/>
        <w:rPr>
          <w:rFonts w:ascii="Arial" w:hAnsi="Arial"/>
          <w:sz w:val="22"/>
          <w:szCs w:val="22"/>
        </w:rPr>
      </w:pPr>
    </w:p>
    <w:sectPr w:rsidR="00213BD8" w:rsidSect="007D7C1F">
      <w:pgSz w:w="16838" w:h="11906" w:orient="landscape"/>
      <w:pgMar w:top="1418" w:right="709" w:bottom="1418" w:left="1418" w:header="1134"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1FB52" w14:textId="77777777" w:rsidR="00523E4B" w:rsidRDefault="00523E4B">
      <w:r>
        <w:separator/>
      </w:r>
    </w:p>
  </w:endnote>
  <w:endnote w:type="continuationSeparator" w:id="0">
    <w:p w14:paraId="2606C9CD" w14:textId="77777777" w:rsidR="00523E4B" w:rsidRDefault="0052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9120" w14:textId="77777777" w:rsidR="009D7952" w:rsidRDefault="009D7952">
    <w:pPr>
      <w:pStyle w:val="Zpat"/>
    </w:pPr>
    <w:r>
      <w:t xml:space="preserve">Stránka </w:t>
    </w:r>
    <w:r>
      <w:rPr>
        <w:b/>
      </w:rPr>
      <w:fldChar w:fldCharType="begin"/>
    </w:r>
    <w:r>
      <w:rPr>
        <w:b/>
      </w:rPr>
      <w:instrText>PAGE</w:instrText>
    </w:r>
    <w:r>
      <w:rPr>
        <w:b/>
      </w:rPr>
      <w:fldChar w:fldCharType="separate"/>
    </w:r>
    <w:r w:rsidR="00204428">
      <w:rPr>
        <w:b/>
        <w:noProof/>
      </w:rPr>
      <w:t>4</w:t>
    </w:r>
    <w:r>
      <w:rPr>
        <w:b/>
      </w:rPr>
      <w:fldChar w:fldCharType="end"/>
    </w:r>
    <w:r>
      <w:t xml:space="preserve"> z </w:t>
    </w:r>
    <w:r>
      <w:rPr>
        <w:b/>
      </w:rPr>
      <w:fldChar w:fldCharType="begin"/>
    </w:r>
    <w:r>
      <w:rPr>
        <w:b/>
      </w:rPr>
      <w:instrText>NUMPAGES</w:instrText>
    </w:r>
    <w:r>
      <w:rPr>
        <w:b/>
      </w:rPr>
      <w:fldChar w:fldCharType="separate"/>
    </w:r>
    <w:r w:rsidR="00204428">
      <w:rPr>
        <w:b/>
        <w:noProof/>
      </w:rPr>
      <w:t>17</w:t>
    </w:r>
    <w:r>
      <w:rPr>
        <w:b/>
      </w:rPr>
      <w:fldChar w:fldCharType="end"/>
    </w:r>
  </w:p>
  <w:p w14:paraId="44633F22" w14:textId="77777777" w:rsidR="009D7952" w:rsidRDefault="009D79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4362" w14:textId="77777777" w:rsidR="009D7952" w:rsidRDefault="009D7952">
    <w:pPr>
      <w:pStyle w:val="Zpat"/>
    </w:pPr>
    <w:r>
      <w:t xml:space="preserve">Stránka </w:t>
    </w:r>
    <w:r>
      <w:rPr>
        <w:b/>
      </w:rPr>
      <w:fldChar w:fldCharType="begin"/>
    </w:r>
    <w:r>
      <w:rPr>
        <w:b/>
      </w:rPr>
      <w:instrText>PAGE</w:instrText>
    </w:r>
    <w:r>
      <w:rPr>
        <w:b/>
      </w:rPr>
      <w:fldChar w:fldCharType="separate"/>
    </w:r>
    <w:r w:rsidR="00204428">
      <w:rPr>
        <w:b/>
        <w:noProof/>
      </w:rPr>
      <w:t>17</w:t>
    </w:r>
    <w:r>
      <w:rPr>
        <w:b/>
      </w:rPr>
      <w:fldChar w:fldCharType="end"/>
    </w:r>
    <w:r>
      <w:t xml:space="preserve"> z </w:t>
    </w:r>
    <w:r>
      <w:rPr>
        <w:b/>
      </w:rPr>
      <w:fldChar w:fldCharType="begin"/>
    </w:r>
    <w:r>
      <w:rPr>
        <w:b/>
      </w:rPr>
      <w:instrText>NUMPAGES</w:instrText>
    </w:r>
    <w:r>
      <w:rPr>
        <w:b/>
      </w:rPr>
      <w:fldChar w:fldCharType="separate"/>
    </w:r>
    <w:r w:rsidR="00204428">
      <w:rPr>
        <w:b/>
        <w:noProof/>
      </w:rPr>
      <w:t>17</w:t>
    </w:r>
    <w:r>
      <w:rPr>
        <w:b/>
      </w:rPr>
      <w:fldChar w:fldCharType="end"/>
    </w:r>
  </w:p>
  <w:p w14:paraId="2D72FDF7" w14:textId="77777777" w:rsidR="009D7952" w:rsidRDefault="009D79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905A6" w14:textId="77777777" w:rsidR="00523E4B" w:rsidRDefault="00523E4B">
      <w:r>
        <w:separator/>
      </w:r>
    </w:p>
  </w:footnote>
  <w:footnote w:type="continuationSeparator" w:id="0">
    <w:p w14:paraId="481E7499" w14:textId="77777777" w:rsidR="00523E4B" w:rsidRDefault="0052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976A6"/>
    <w:rsid w:val="000A08B4"/>
    <w:rsid w:val="000A1A5B"/>
    <w:rsid w:val="000A3246"/>
    <w:rsid w:val="000A4A1B"/>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2332"/>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286E"/>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A6176"/>
    <w:rsid w:val="001A68EC"/>
    <w:rsid w:val="001B0285"/>
    <w:rsid w:val="001B3567"/>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E7D08"/>
    <w:rsid w:val="001F4608"/>
    <w:rsid w:val="001F5E7C"/>
    <w:rsid w:val="001F5FDA"/>
    <w:rsid w:val="00201985"/>
    <w:rsid w:val="00202B3D"/>
    <w:rsid w:val="002040A1"/>
    <w:rsid w:val="00204428"/>
    <w:rsid w:val="0020575F"/>
    <w:rsid w:val="00206AA8"/>
    <w:rsid w:val="00207315"/>
    <w:rsid w:val="002123A0"/>
    <w:rsid w:val="00212875"/>
    <w:rsid w:val="00213BD8"/>
    <w:rsid w:val="00214310"/>
    <w:rsid w:val="00214EB6"/>
    <w:rsid w:val="00216177"/>
    <w:rsid w:val="002168A1"/>
    <w:rsid w:val="002170D5"/>
    <w:rsid w:val="00222F3A"/>
    <w:rsid w:val="00223104"/>
    <w:rsid w:val="00223B32"/>
    <w:rsid w:val="0023414E"/>
    <w:rsid w:val="002427CF"/>
    <w:rsid w:val="00242DB0"/>
    <w:rsid w:val="00243B42"/>
    <w:rsid w:val="002450CF"/>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441"/>
    <w:rsid w:val="00282BC4"/>
    <w:rsid w:val="0028773D"/>
    <w:rsid w:val="0029264C"/>
    <w:rsid w:val="00293C87"/>
    <w:rsid w:val="0029442B"/>
    <w:rsid w:val="002955F6"/>
    <w:rsid w:val="002A388B"/>
    <w:rsid w:val="002A5097"/>
    <w:rsid w:val="002B121C"/>
    <w:rsid w:val="002B6081"/>
    <w:rsid w:val="002C01BF"/>
    <w:rsid w:val="002C21F1"/>
    <w:rsid w:val="002C45E5"/>
    <w:rsid w:val="002D0C72"/>
    <w:rsid w:val="002D1665"/>
    <w:rsid w:val="002D238F"/>
    <w:rsid w:val="002D2611"/>
    <w:rsid w:val="002D4532"/>
    <w:rsid w:val="002D61B0"/>
    <w:rsid w:val="002D7FF1"/>
    <w:rsid w:val="002E01B0"/>
    <w:rsid w:val="002E128A"/>
    <w:rsid w:val="002E21CD"/>
    <w:rsid w:val="002E3ED9"/>
    <w:rsid w:val="002E4304"/>
    <w:rsid w:val="002E6428"/>
    <w:rsid w:val="002E718D"/>
    <w:rsid w:val="002F03AE"/>
    <w:rsid w:val="002F0979"/>
    <w:rsid w:val="002F0ED5"/>
    <w:rsid w:val="002F2369"/>
    <w:rsid w:val="002F338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3EA9"/>
    <w:rsid w:val="00334CEA"/>
    <w:rsid w:val="00337AB7"/>
    <w:rsid w:val="00340CD8"/>
    <w:rsid w:val="00343A76"/>
    <w:rsid w:val="00345266"/>
    <w:rsid w:val="00346854"/>
    <w:rsid w:val="00347D4B"/>
    <w:rsid w:val="00352A67"/>
    <w:rsid w:val="00352B6A"/>
    <w:rsid w:val="0035444B"/>
    <w:rsid w:val="003559B7"/>
    <w:rsid w:val="00357A12"/>
    <w:rsid w:val="003600C3"/>
    <w:rsid w:val="00361C41"/>
    <w:rsid w:val="003623F9"/>
    <w:rsid w:val="00362AC4"/>
    <w:rsid w:val="003639A6"/>
    <w:rsid w:val="0036675D"/>
    <w:rsid w:val="003668E6"/>
    <w:rsid w:val="003710F3"/>
    <w:rsid w:val="00373E1B"/>
    <w:rsid w:val="00374461"/>
    <w:rsid w:val="003755E7"/>
    <w:rsid w:val="00377BFD"/>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681A"/>
    <w:rsid w:val="003D7DDA"/>
    <w:rsid w:val="003E5D19"/>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1649F"/>
    <w:rsid w:val="004204B1"/>
    <w:rsid w:val="004216A5"/>
    <w:rsid w:val="00422A35"/>
    <w:rsid w:val="00425282"/>
    <w:rsid w:val="00425716"/>
    <w:rsid w:val="00432005"/>
    <w:rsid w:val="00435571"/>
    <w:rsid w:val="00436D2B"/>
    <w:rsid w:val="004403FA"/>
    <w:rsid w:val="00441070"/>
    <w:rsid w:val="00446719"/>
    <w:rsid w:val="00447307"/>
    <w:rsid w:val="004513D3"/>
    <w:rsid w:val="00453B4F"/>
    <w:rsid w:val="004551C8"/>
    <w:rsid w:val="00455301"/>
    <w:rsid w:val="0045664A"/>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01F4"/>
    <w:rsid w:val="004B22DD"/>
    <w:rsid w:val="004B3B0E"/>
    <w:rsid w:val="004B3DAF"/>
    <w:rsid w:val="004B5C6B"/>
    <w:rsid w:val="004B6DD8"/>
    <w:rsid w:val="004B7BF9"/>
    <w:rsid w:val="004C35AB"/>
    <w:rsid w:val="004C3C6C"/>
    <w:rsid w:val="004C77D9"/>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3E4B"/>
    <w:rsid w:val="00525DA6"/>
    <w:rsid w:val="00526712"/>
    <w:rsid w:val="00531C01"/>
    <w:rsid w:val="0053288E"/>
    <w:rsid w:val="00537176"/>
    <w:rsid w:val="005432BB"/>
    <w:rsid w:val="005439E5"/>
    <w:rsid w:val="00544190"/>
    <w:rsid w:val="00550014"/>
    <w:rsid w:val="00552481"/>
    <w:rsid w:val="00555594"/>
    <w:rsid w:val="00555DF0"/>
    <w:rsid w:val="00556CC7"/>
    <w:rsid w:val="005575F0"/>
    <w:rsid w:val="005605E3"/>
    <w:rsid w:val="00576CC8"/>
    <w:rsid w:val="00577BCB"/>
    <w:rsid w:val="00580C5B"/>
    <w:rsid w:val="0059080A"/>
    <w:rsid w:val="00591378"/>
    <w:rsid w:val="00594F1B"/>
    <w:rsid w:val="00595847"/>
    <w:rsid w:val="005A5E6F"/>
    <w:rsid w:val="005B1181"/>
    <w:rsid w:val="005B166F"/>
    <w:rsid w:val="005B2678"/>
    <w:rsid w:val="005B28D0"/>
    <w:rsid w:val="005B3629"/>
    <w:rsid w:val="005B4202"/>
    <w:rsid w:val="005B73D9"/>
    <w:rsid w:val="005C0705"/>
    <w:rsid w:val="005D0ED6"/>
    <w:rsid w:val="005D2D05"/>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46A81"/>
    <w:rsid w:val="0065379E"/>
    <w:rsid w:val="00654FB1"/>
    <w:rsid w:val="006554F2"/>
    <w:rsid w:val="00656FDE"/>
    <w:rsid w:val="00661D51"/>
    <w:rsid w:val="00661EB8"/>
    <w:rsid w:val="00663AFB"/>
    <w:rsid w:val="00664190"/>
    <w:rsid w:val="00670579"/>
    <w:rsid w:val="00671BD2"/>
    <w:rsid w:val="00671CAD"/>
    <w:rsid w:val="00672344"/>
    <w:rsid w:val="00672364"/>
    <w:rsid w:val="00673D85"/>
    <w:rsid w:val="00675715"/>
    <w:rsid w:val="0067664C"/>
    <w:rsid w:val="00676A55"/>
    <w:rsid w:val="00680DF7"/>
    <w:rsid w:val="00682889"/>
    <w:rsid w:val="00682CB5"/>
    <w:rsid w:val="00685E4C"/>
    <w:rsid w:val="00686D4C"/>
    <w:rsid w:val="00686EDF"/>
    <w:rsid w:val="0069007C"/>
    <w:rsid w:val="00691531"/>
    <w:rsid w:val="0069288D"/>
    <w:rsid w:val="00692C6C"/>
    <w:rsid w:val="006969B1"/>
    <w:rsid w:val="006A253A"/>
    <w:rsid w:val="006A42C4"/>
    <w:rsid w:val="006A58FE"/>
    <w:rsid w:val="006A6E28"/>
    <w:rsid w:val="006A758F"/>
    <w:rsid w:val="006B1CE9"/>
    <w:rsid w:val="006B6341"/>
    <w:rsid w:val="006B6B1C"/>
    <w:rsid w:val="006C068D"/>
    <w:rsid w:val="006C270B"/>
    <w:rsid w:val="006C2995"/>
    <w:rsid w:val="006C2CBA"/>
    <w:rsid w:val="006D3B5A"/>
    <w:rsid w:val="006D5608"/>
    <w:rsid w:val="006E0D27"/>
    <w:rsid w:val="006E14B4"/>
    <w:rsid w:val="006E15ED"/>
    <w:rsid w:val="006E2C73"/>
    <w:rsid w:val="006E31E6"/>
    <w:rsid w:val="006E40C7"/>
    <w:rsid w:val="006E6FF9"/>
    <w:rsid w:val="006F13A1"/>
    <w:rsid w:val="006F29A8"/>
    <w:rsid w:val="006F429D"/>
    <w:rsid w:val="0070164A"/>
    <w:rsid w:val="00701762"/>
    <w:rsid w:val="007058F4"/>
    <w:rsid w:val="0070657E"/>
    <w:rsid w:val="00706754"/>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2AFE"/>
    <w:rsid w:val="007463F3"/>
    <w:rsid w:val="007513B5"/>
    <w:rsid w:val="00753C40"/>
    <w:rsid w:val="00753C49"/>
    <w:rsid w:val="00755336"/>
    <w:rsid w:val="007575EC"/>
    <w:rsid w:val="00757F0E"/>
    <w:rsid w:val="00763B5C"/>
    <w:rsid w:val="00764C0A"/>
    <w:rsid w:val="00766AF6"/>
    <w:rsid w:val="00767B54"/>
    <w:rsid w:val="00770D35"/>
    <w:rsid w:val="00771C31"/>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125"/>
    <w:rsid w:val="007B79B9"/>
    <w:rsid w:val="007C3DCF"/>
    <w:rsid w:val="007C3F17"/>
    <w:rsid w:val="007D1795"/>
    <w:rsid w:val="007D1D69"/>
    <w:rsid w:val="007D3865"/>
    <w:rsid w:val="007D60C4"/>
    <w:rsid w:val="007D7C1F"/>
    <w:rsid w:val="007E026B"/>
    <w:rsid w:val="007E2FF8"/>
    <w:rsid w:val="007E3C73"/>
    <w:rsid w:val="007E3C76"/>
    <w:rsid w:val="007E433D"/>
    <w:rsid w:val="007E7FB7"/>
    <w:rsid w:val="007F0164"/>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68EF"/>
    <w:rsid w:val="0082765E"/>
    <w:rsid w:val="00831806"/>
    <w:rsid w:val="00831DD4"/>
    <w:rsid w:val="00832ED6"/>
    <w:rsid w:val="00835EF6"/>
    <w:rsid w:val="00837186"/>
    <w:rsid w:val="00840393"/>
    <w:rsid w:val="00844527"/>
    <w:rsid w:val="0084695E"/>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60"/>
    <w:rsid w:val="008A3285"/>
    <w:rsid w:val="008A5091"/>
    <w:rsid w:val="008A5A69"/>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3B1"/>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411"/>
    <w:rsid w:val="00925828"/>
    <w:rsid w:val="009321CA"/>
    <w:rsid w:val="00932DDC"/>
    <w:rsid w:val="009343FF"/>
    <w:rsid w:val="009365D1"/>
    <w:rsid w:val="00937F08"/>
    <w:rsid w:val="009402DC"/>
    <w:rsid w:val="00940935"/>
    <w:rsid w:val="00941582"/>
    <w:rsid w:val="0094275F"/>
    <w:rsid w:val="0094351E"/>
    <w:rsid w:val="0094380D"/>
    <w:rsid w:val="009446D2"/>
    <w:rsid w:val="0094539C"/>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2A38"/>
    <w:rsid w:val="009B42DF"/>
    <w:rsid w:val="009B51AA"/>
    <w:rsid w:val="009B7164"/>
    <w:rsid w:val="009C1050"/>
    <w:rsid w:val="009D4387"/>
    <w:rsid w:val="009D7920"/>
    <w:rsid w:val="009D7952"/>
    <w:rsid w:val="009E0DB3"/>
    <w:rsid w:val="009E0E5E"/>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4CAA"/>
    <w:rsid w:val="00A25F83"/>
    <w:rsid w:val="00A27407"/>
    <w:rsid w:val="00A30EAA"/>
    <w:rsid w:val="00A31E8C"/>
    <w:rsid w:val="00A32715"/>
    <w:rsid w:val="00A376D7"/>
    <w:rsid w:val="00A41C66"/>
    <w:rsid w:val="00A4256A"/>
    <w:rsid w:val="00A42D08"/>
    <w:rsid w:val="00A43551"/>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E33"/>
    <w:rsid w:val="00AD4918"/>
    <w:rsid w:val="00AD755E"/>
    <w:rsid w:val="00AE0248"/>
    <w:rsid w:val="00AE0315"/>
    <w:rsid w:val="00AE0F0D"/>
    <w:rsid w:val="00AE2361"/>
    <w:rsid w:val="00AE4E4E"/>
    <w:rsid w:val="00AF05DB"/>
    <w:rsid w:val="00AF2CF1"/>
    <w:rsid w:val="00AF6BEC"/>
    <w:rsid w:val="00AF7E05"/>
    <w:rsid w:val="00B042E4"/>
    <w:rsid w:val="00B0467F"/>
    <w:rsid w:val="00B047A2"/>
    <w:rsid w:val="00B04D04"/>
    <w:rsid w:val="00B056D0"/>
    <w:rsid w:val="00B056F5"/>
    <w:rsid w:val="00B11153"/>
    <w:rsid w:val="00B13423"/>
    <w:rsid w:val="00B1530F"/>
    <w:rsid w:val="00B15ED5"/>
    <w:rsid w:val="00B16CC9"/>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02DF"/>
    <w:rsid w:val="00B5131A"/>
    <w:rsid w:val="00B54150"/>
    <w:rsid w:val="00B60DA2"/>
    <w:rsid w:val="00B6136C"/>
    <w:rsid w:val="00B61541"/>
    <w:rsid w:val="00B62447"/>
    <w:rsid w:val="00B66520"/>
    <w:rsid w:val="00B66ECC"/>
    <w:rsid w:val="00B671F5"/>
    <w:rsid w:val="00B70A42"/>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57A"/>
    <w:rsid w:val="00BB5BEC"/>
    <w:rsid w:val="00BC1534"/>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1941"/>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17A31"/>
    <w:rsid w:val="00C23DEA"/>
    <w:rsid w:val="00C247A0"/>
    <w:rsid w:val="00C2512F"/>
    <w:rsid w:val="00C257C5"/>
    <w:rsid w:val="00C3115B"/>
    <w:rsid w:val="00C31706"/>
    <w:rsid w:val="00C3173D"/>
    <w:rsid w:val="00C3178C"/>
    <w:rsid w:val="00C347FB"/>
    <w:rsid w:val="00C34F04"/>
    <w:rsid w:val="00C402C5"/>
    <w:rsid w:val="00C4089C"/>
    <w:rsid w:val="00C41D21"/>
    <w:rsid w:val="00C41DBB"/>
    <w:rsid w:val="00C4508D"/>
    <w:rsid w:val="00C472E9"/>
    <w:rsid w:val="00C505C3"/>
    <w:rsid w:val="00C53327"/>
    <w:rsid w:val="00C57AF5"/>
    <w:rsid w:val="00C634A6"/>
    <w:rsid w:val="00C63D8D"/>
    <w:rsid w:val="00C70C45"/>
    <w:rsid w:val="00C70F7A"/>
    <w:rsid w:val="00C7620B"/>
    <w:rsid w:val="00C816B7"/>
    <w:rsid w:val="00C830A5"/>
    <w:rsid w:val="00C8427B"/>
    <w:rsid w:val="00C8464B"/>
    <w:rsid w:val="00C8681E"/>
    <w:rsid w:val="00C90136"/>
    <w:rsid w:val="00C90EEC"/>
    <w:rsid w:val="00C9591E"/>
    <w:rsid w:val="00C9680C"/>
    <w:rsid w:val="00CA0A3C"/>
    <w:rsid w:val="00CA3054"/>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0C85"/>
    <w:rsid w:val="00CC48BD"/>
    <w:rsid w:val="00CC6579"/>
    <w:rsid w:val="00CC7653"/>
    <w:rsid w:val="00CD3411"/>
    <w:rsid w:val="00CD448E"/>
    <w:rsid w:val="00CE1510"/>
    <w:rsid w:val="00CE3775"/>
    <w:rsid w:val="00CE3A03"/>
    <w:rsid w:val="00CE63A6"/>
    <w:rsid w:val="00CF0F2F"/>
    <w:rsid w:val="00CF1B23"/>
    <w:rsid w:val="00CF6B8F"/>
    <w:rsid w:val="00CF7793"/>
    <w:rsid w:val="00D0275D"/>
    <w:rsid w:val="00D02922"/>
    <w:rsid w:val="00D0300B"/>
    <w:rsid w:val="00D03559"/>
    <w:rsid w:val="00D0418A"/>
    <w:rsid w:val="00D055BC"/>
    <w:rsid w:val="00D078EB"/>
    <w:rsid w:val="00D11304"/>
    <w:rsid w:val="00D12822"/>
    <w:rsid w:val="00D131B5"/>
    <w:rsid w:val="00D15AA2"/>
    <w:rsid w:val="00D17C07"/>
    <w:rsid w:val="00D2020B"/>
    <w:rsid w:val="00D207EB"/>
    <w:rsid w:val="00D30732"/>
    <w:rsid w:val="00D31D3A"/>
    <w:rsid w:val="00D34AF8"/>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2214"/>
    <w:rsid w:val="00DC49EB"/>
    <w:rsid w:val="00DC7D94"/>
    <w:rsid w:val="00DD071A"/>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2D16"/>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714D"/>
    <w:rsid w:val="00E57A87"/>
    <w:rsid w:val="00E6103B"/>
    <w:rsid w:val="00E61771"/>
    <w:rsid w:val="00E63721"/>
    <w:rsid w:val="00E67680"/>
    <w:rsid w:val="00E75062"/>
    <w:rsid w:val="00E75628"/>
    <w:rsid w:val="00E76DDC"/>
    <w:rsid w:val="00E80646"/>
    <w:rsid w:val="00E815D8"/>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6DD"/>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1A58"/>
    <w:rsid w:val="00F23367"/>
    <w:rsid w:val="00F24C6D"/>
    <w:rsid w:val="00F274BE"/>
    <w:rsid w:val="00F335C8"/>
    <w:rsid w:val="00F365F0"/>
    <w:rsid w:val="00F36DB3"/>
    <w:rsid w:val="00F3711F"/>
    <w:rsid w:val="00F3731B"/>
    <w:rsid w:val="00F37EC3"/>
    <w:rsid w:val="00F422F7"/>
    <w:rsid w:val="00F46C29"/>
    <w:rsid w:val="00F5470E"/>
    <w:rsid w:val="00F56C3F"/>
    <w:rsid w:val="00F57068"/>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6EAC"/>
    <w:rsid w:val="00FA7069"/>
    <w:rsid w:val="00FB0058"/>
    <w:rsid w:val="00FB14BB"/>
    <w:rsid w:val="00FB1A04"/>
    <w:rsid w:val="00FB1E63"/>
    <w:rsid w:val="00FB4358"/>
    <w:rsid w:val="00FB7080"/>
    <w:rsid w:val="00FC04BD"/>
    <w:rsid w:val="00FC7747"/>
    <w:rsid w:val="00FC7AD4"/>
    <w:rsid w:val="00FD027E"/>
    <w:rsid w:val="00FD1780"/>
    <w:rsid w:val="00FD1A07"/>
    <w:rsid w:val="00FD33DE"/>
    <w:rsid w:val="00FD3FC8"/>
    <w:rsid w:val="00FD53C0"/>
    <w:rsid w:val="00FD722F"/>
    <w:rsid w:val="00FD777E"/>
    <w:rsid w:val="00FE0FAD"/>
    <w:rsid w:val="00FF519C"/>
    <w:rsid w:val="00FF66E1"/>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0B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character" w:styleId="Nevyeenzmnka">
    <w:name w:val="Unresolved Mention"/>
    <w:basedOn w:val="Standardnpsmoodstavce"/>
    <w:uiPriority w:val="99"/>
    <w:semiHidden/>
    <w:unhideWhenUsed/>
    <w:rsid w:val="007D7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738362">
      <w:bodyDiv w:val="1"/>
      <w:marLeft w:val="0"/>
      <w:marRight w:val="0"/>
      <w:marTop w:val="0"/>
      <w:marBottom w:val="0"/>
      <w:divBdr>
        <w:top w:val="none" w:sz="0" w:space="0" w:color="auto"/>
        <w:left w:val="none" w:sz="0" w:space="0" w:color="auto"/>
        <w:bottom w:val="none" w:sz="0" w:space="0" w:color="auto"/>
        <w:right w:val="none" w:sz="0" w:space="0" w:color="auto"/>
      </w:divBdr>
    </w:div>
    <w:div w:id="609817880">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965623758">
      <w:bodyDiv w:val="1"/>
      <w:marLeft w:val="0"/>
      <w:marRight w:val="0"/>
      <w:marTop w:val="0"/>
      <w:marBottom w:val="0"/>
      <w:divBdr>
        <w:top w:val="none" w:sz="0" w:space="0" w:color="auto"/>
        <w:left w:val="none" w:sz="0" w:space="0" w:color="auto"/>
        <w:bottom w:val="none" w:sz="0" w:space="0" w:color="auto"/>
        <w:right w:val="none" w:sz="0" w:space="0" w:color="auto"/>
      </w:divBdr>
    </w:div>
    <w:div w:id="967471034">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665359834">
      <w:bodyDiv w:val="1"/>
      <w:marLeft w:val="0"/>
      <w:marRight w:val="0"/>
      <w:marTop w:val="0"/>
      <w:marBottom w:val="0"/>
      <w:divBdr>
        <w:top w:val="none" w:sz="0" w:space="0" w:color="auto"/>
        <w:left w:val="none" w:sz="0" w:space="0" w:color="auto"/>
        <w:bottom w:val="none" w:sz="0" w:space="0" w:color="auto"/>
        <w:right w:val="none" w:sz="0" w:space="0" w:color="auto"/>
      </w:divBdr>
    </w:div>
    <w:div w:id="1750497217">
      <w:bodyDiv w:val="1"/>
      <w:marLeft w:val="0"/>
      <w:marRight w:val="0"/>
      <w:marTop w:val="0"/>
      <w:marBottom w:val="0"/>
      <w:divBdr>
        <w:top w:val="none" w:sz="0" w:space="0" w:color="auto"/>
        <w:left w:val="none" w:sz="0" w:space="0" w:color="auto"/>
        <w:bottom w:val="none" w:sz="0" w:space="0" w:color="auto"/>
        <w:right w:val="none" w:sz="0" w:space="0" w:color="auto"/>
      </w:divBdr>
    </w:div>
    <w:div w:id="1863783329">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usak@spucr.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skerik@spucr.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HCUZCRXN6NH5-1281883986-29324</_dlc_DocId>
    <_dlc_DocIdUrl xmlns="85f4b5cc-4033-44c7-b405-f5eed34c8154">
      <Url>https://spucr.sharepoint.com/sites/Portal/304000/_layouts/15/DocIdRedir.aspx?ID=HCUZCRXN6NH5-1281883986-29324</Url>
      <Description>HCUZCRXN6NH5-1281883986-29324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38B745ECE44741439C524FA041C0607A" ma:contentTypeVersion="11" ma:contentTypeDescription="Vytvoří nový dokument" ma:contentTypeScope="" ma:versionID="204a92120da8cd90d814e0d161fc5be3">
  <xsd:schema xmlns:xsd="http://www.w3.org/2001/XMLSchema" xmlns:xs="http://www.w3.org/2001/XMLSchema" xmlns:p="http://schemas.microsoft.com/office/2006/metadata/properties" xmlns:ns2="85f4b5cc-4033-44c7-b405-f5eed34c8154" xmlns:ns3="95d975e9-94b5-4ac1-935a-4f8b94d4a55e" targetNamespace="http://schemas.microsoft.com/office/2006/metadata/properties" ma:root="true" ma:fieldsID="fa30f2007b76e3ae63052af21b2f95dd" ns2:_="" ns3:_="">
    <xsd:import namespace="85f4b5cc-4033-44c7-b405-f5eed34c8154"/>
    <xsd:import namespace="95d975e9-94b5-4ac1-935a-4f8b94d4a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975e9-94b5-4ac1-935a-4f8b94d4a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3275F-C6AB-43E8-AADF-36E7725841B9}">
  <ds:schemaRefs>
    <ds:schemaRef ds:uri="http://schemas.microsoft.com/sharepoint/events"/>
  </ds:schemaRefs>
</ds:datastoreItem>
</file>

<file path=customXml/itemProps2.xml><?xml version="1.0" encoding="utf-8"?>
<ds:datastoreItem xmlns:ds="http://schemas.openxmlformats.org/officeDocument/2006/customXml" ds:itemID="{00B92A88-43B8-44DF-80D5-E4A6CBF14680}">
  <ds:schemaRefs>
    <ds:schemaRef ds:uri="http://schemas.microsoft.com/sharepoint/v3/contenttype/forms"/>
  </ds:schemaRefs>
</ds:datastoreItem>
</file>

<file path=customXml/itemProps3.xml><?xml version="1.0" encoding="utf-8"?>
<ds:datastoreItem xmlns:ds="http://schemas.openxmlformats.org/officeDocument/2006/customXml" ds:itemID="{73441301-1DE8-4D10-8F76-B1CF6BF64E6D}">
  <ds:schemaRefs>
    <ds:schemaRef ds:uri="http://schemas.microsoft.com/office/2006/metadata/properties"/>
    <ds:schemaRef ds:uri="http://schemas.microsoft.com/office/infopath/2007/PartnerControls"/>
    <ds:schemaRef ds:uri="85f4b5cc-4033-44c7-b405-f5eed34c8154"/>
  </ds:schemaRefs>
</ds:datastoreItem>
</file>

<file path=customXml/itemProps4.xml><?xml version="1.0" encoding="utf-8"?>
<ds:datastoreItem xmlns:ds="http://schemas.openxmlformats.org/officeDocument/2006/customXml" ds:itemID="{BAE6D797-0E69-4AD0-AC24-E3DDC36840B7}">
  <ds:schemaRefs>
    <ds:schemaRef ds:uri="http://schemas.openxmlformats.org/officeDocument/2006/bibliography"/>
  </ds:schemaRefs>
</ds:datastoreItem>
</file>

<file path=customXml/itemProps5.xml><?xml version="1.0" encoding="utf-8"?>
<ds:datastoreItem xmlns:ds="http://schemas.openxmlformats.org/officeDocument/2006/customXml" ds:itemID="{FEEF5097-C9F8-4393-B5B6-02CC02980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95d975e9-94b5-4ac1-935a-4f8b94d4a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4891</Words>
  <Characters>28857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2021-08-12T09:52:00Z</dcterms:created>
  <dcterms:modified xsi:type="dcterms:W3CDTF">2021-09-10T11:43:00Z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0x01010038B745ECE44741439C524FA041C0607A</vt:lpwstr>
  </property>
  <property fmtid="{D5CDD505-2E9C-101B-9397-08002B2CF9AE}" pid="3" name="_dlc_DocIdItemGuid">
    <vt:lpwstr>750627b5-4abd-4729-be92-74638d339185</vt:lpwstr>
  </property>
</Properties>
</file>