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2941B295" w:rsidR="007D72A5" w:rsidRPr="00650BC0" w:rsidRDefault="009C1E6E" w:rsidP="001F0B6A">
      <w:pPr>
        <w:spacing w:line="276" w:lineRule="auto"/>
        <w:rPr>
          <w:rFonts w:ascii="Arial" w:hAnsi="Arial" w:cs="Arial"/>
          <w:b/>
          <w:bCs/>
          <w:snapToGrid w:val="0"/>
          <w:sz w:val="22"/>
          <w:szCs w:val="22"/>
        </w:rPr>
      </w:pPr>
      <w:r w:rsidRPr="00A40B2A">
        <w:rPr>
          <w:rFonts w:ascii="Arial" w:hAnsi="Arial" w:cs="Arial"/>
          <w:b/>
          <w:bCs/>
          <w:snapToGrid w:val="0"/>
          <w:sz w:val="22"/>
          <w:szCs w:val="22"/>
        </w:rPr>
        <w:t>n</w:t>
      </w:r>
      <w:r w:rsidR="00E93D10" w:rsidRPr="00A40B2A">
        <w:rPr>
          <w:rFonts w:ascii="Arial" w:hAnsi="Arial" w:cs="Arial"/>
          <w:b/>
          <w:bCs/>
          <w:snapToGrid w:val="0"/>
          <w:sz w:val="22"/>
          <w:szCs w:val="22"/>
        </w:rPr>
        <w:t xml:space="preserve">a vypracování </w:t>
      </w:r>
      <w:r w:rsidR="009B5A30" w:rsidRPr="00A40B2A">
        <w:rPr>
          <w:rFonts w:ascii="Arial" w:hAnsi="Arial" w:cs="Arial"/>
          <w:b/>
          <w:bCs/>
          <w:snapToGrid w:val="0"/>
          <w:sz w:val="22"/>
          <w:szCs w:val="22"/>
        </w:rPr>
        <w:t>S</w:t>
      </w:r>
      <w:r w:rsidR="00E93D10" w:rsidRPr="00A40B2A">
        <w:rPr>
          <w:rFonts w:ascii="Arial" w:hAnsi="Arial" w:cs="Arial"/>
          <w:b/>
          <w:bCs/>
          <w:snapToGrid w:val="0"/>
          <w:sz w:val="22"/>
          <w:szCs w:val="22"/>
        </w:rPr>
        <w:t xml:space="preserve">tudie </w:t>
      </w:r>
      <w:r w:rsidR="00A40B2A" w:rsidRPr="00A40B2A">
        <w:rPr>
          <w:rFonts w:ascii="Arial" w:hAnsi="Arial" w:cs="Arial"/>
          <w:b/>
          <w:bCs/>
          <w:snapToGrid w:val="0"/>
          <w:sz w:val="22"/>
          <w:szCs w:val="22"/>
        </w:rPr>
        <w:t xml:space="preserve">za účelem zpracování </w:t>
      </w:r>
      <w:r w:rsidR="00E93D10" w:rsidRPr="00A40B2A">
        <w:rPr>
          <w:rFonts w:ascii="Arial" w:hAnsi="Arial" w:cs="Arial"/>
          <w:b/>
          <w:bCs/>
          <w:snapToGrid w:val="0"/>
          <w:sz w:val="22"/>
          <w:szCs w:val="22"/>
        </w:rPr>
        <w:t xml:space="preserve">pozemkových úprav </w:t>
      </w:r>
      <w:r w:rsidR="00A40B2A" w:rsidRPr="00A40B2A">
        <w:rPr>
          <w:rFonts w:ascii="Arial" w:hAnsi="Arial" w:cs="Arial"/>
          <w:b/>
          <w:bCs/>
          <w:snapToGrid w:val="0"/>
          <w:sz w:val="22"/>
          <w:szCs w:val="22"/>
        </w:rPr>
        <w:t xml:space="preserve">vyvolaných </w:t>
      </w:r>
      <w:r w:rsidR="00E93D10" w:rsidRPr="00A40B2A">
        <w:rPr>
          <w:rFonts w:ascii="Arial" w:hAnsi="Arial" w:cs="Arial"/>
          <w:b/>
          <w:bCs/>
          <w:snapToGrid w:val="0"/>
          <w:sz w:val="22"/>
          <w:szCs w:val="22"/>
        </w:rPr>
        <w:t>výstavb</w:t>
      </w:r>
      <w:r w:rsidR="00A40B2A" w:rsidRPr="00A40B2A">
        <w:rPr>
          <w:rFonts w:ascii="Arial" w:hAnsi="Arial" w:cs="Arial"/>
          <w:b/>
          <w:bCs/>
          <w:snapToGrid w:val="0"/>
          <w:sz w:val="22"/>
          <w:szCs w:val="22"/>
        </w:rPr>
        <w:t>ou</w:t>
      </w:r>
      <w:r w:rsidR="00E93D10" w:rsidRPr="00A40B2A">
        <w:rPr>
          <w:rFonts w:ascii="Arial" w:hAnsi="Arial" w:cs="Arial"/>
          <w:b/>
          <w:bCs/>
          <w:snapToGrid w:val="0"/>
          <w:sz w:val="22"/>
          <w:szCs w:val="22"/>
        </w:rPr>
        <w:t xml:space="preserve"> dálnice D</w:t>
      </w:r>
      <w:r w:rsidR="00A40B2A" w:rsidRPr="00A40B2A">
        <w:rPr>
          <w:rFonts w:ascii="Arial" w:hAnsi="Arial" w:cs="Arial"/>
          <w:b/>
          <w:bCs/>
          <w:snapToGrid w:val="0"/>
          <w:sz w:val="22"/>
          <w:szCs w:val="22"/>
        </w:rPr>
        <w:t>11 1109 Trutnov – státní hranice ČR/PR</w:t>
      </w:r>
      <w:r w:rsidR="005D358E" w:rsidRPr="00650BC0">
        <w:rPr>
          <w:rFonts w:ascii="Arial" w:hAnsi="Arial" w:cs="Arial"/>
          <w:b/>
          <w:bCs/>
          <w:snapToGrid w:val="0"/>
          <w:sz w:val="22"/>
          <w:szCs w:val="22"/>
        </w:rPr>
        <w:t xml:space="preserve"> </w:t>
      </w:r>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A40B2A"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xml:space="preserve">, ředitel Krajského pozemkového </w:t>
      </w:r>
      <w:r w:rsidR="00B5107B" w:rsidRPr="00A40B2A">
        <w:rPr>
          <w:rFonts w:ascii="Arial" w:hAnsi="Arial" w:cs="Arial"/>
          <w:bCs/>
          <w:snapToGrid w:val="0"/>
          <w:sz w:val="22"/>
          <w:szCs w:val="22"/>
        </w:rPr>
        <w:t>úřadu pro Královéhradecký kraj</w:t>
      </w:r>
    </w:p>
    <w:p w14:paraId="4EBE2F1B" w14:textId="5CA24436" w:rsidR="005F4158" w:rsidRPr="00A40B2A" w:rsidRDefault="005F4158" w:rsidP="003127D4">
      <w:pPr>
        <w:tabs>
          <w:tab w:val="left" w:pos="4111"/>
        </w:tabs>
        <w:spacing w:before="60" w:line="276" w:lineRule="auto"/>
        <w:ind w:left="4820" w:hanging="4820"/>
        <w:rPr>
          <w:rFonts w:ascii="Arial" w:hAnsi="Arial" w:cs="Arial"/>
          <w:sz w:val="22"/>
          <w:szCs w:val="22"/>
        </w:rPr>
      </w:pPr>
      <w:r w:rsidRPr="00A40B2A">
        <w:rPr>
          <w:rFonts w:ascii="Arial" w:hAnsi="Arial" w:cs="Arial"/>
          <w:sz w:val="22"/>
          <w:szCs w:val="22"/>
        </w:rPr>
        <w:t xml:space="preserve">Adresa pro doručování: </w:t>
      </w:r>
      <w:r w:rsidR="00FA5B18" w:rsidRPr="00A40B2A">
        <w:rPr>
          <w:rFonts w:ascii="Arial" w:hAnsi="Arial" w:cs="Arial"/>
          <w:sz w:val="22"/>
          <w:szCs w:val="22"/>
        </w:rPr>
        <w:tab/>
      </w:r>
      <w:r w:rsidRPr="00A40B2A">
        <w:rPr>
          <w:rFonts w:ascii="Arial" w:hAnsi="Arial" w:cs="Arial"/>
          <w:sz w:val="22"/>
          <w:szCs w:val="22"/>
        </w:rPr>
        <w:t>Krajský pozemkový úřad pro Královéhradecký kraj</w:t>
      </w:r>
      <w:r w:rsidR="00A67934" w:rsidRPr="00A40B2A">
        <w:rPr>
          <w:rFonts w:ascii="Arial" w:hAnsi="Arial" w:cs="Arial"/>
          <w:sz w:val="22"/>
          <w:szCs w:val="22"/>
        </w:rPr>
        <w:t>,</w:t>
      </w:r>
    </w:p>
    <w:p w14:paraId="5CB84762" w14:textId="72A74FE8" w:rsidR="005F4158" w:rsidRPr="00A40B2A" w:rsidRDefault="00FA5B18" w:rsidP="001F0B6A">
      <w:pPr>
        <w:tabs>
          <w:tab w:val="left" w:pos="4111"/>
        </w:tabs>
        <w:spacing w:line="276" w:lineRule="auto"/>
        <w:ind w:left="4820" w:hanging="4820"/>
        <w:rPr>
          <w:rFonts w:ascii="Arial" w:hAnsi="Arial" w:cs="Arial"/>
          <w:sz w:val="22"/>
          <w:szCs w:val="22"/>
        </w:rPr>
      </w:pPr>
      <w:r w:rsidRPr="00A40B2A">
        <w:rPr>
          <w:rFonts w:ascii="Arial" w:hAnsi="Arial" w:cs="Arial"/>
          <w:sz w:val="22"/>
          <w:szCs w:val="22"/>
        </w:rPr>
        <w:tab/>
      </w:r>
      <w:r w:rsidR="005F4158" w:rsidRPr="00A40B2A">
        <w:rPr>
          <w:rFonts w:ascii="Arial" w:hAnsi="Arial" w:cs="Arial"/>
          <w:sz w:val="22"/>
          <w:szCs w:val="22"/>
        </w:rPr>
        <w:t xml:space="preserve">Pobočka </w:t>
      </w:r>
      <w:r w:rsidR="00A40B2A" w:rsidRPr="00A40B2A">
        <w:rPr>
          <w:rFonts w:ascii="Arial" w:hAnsi="Arial" w:cs="Arial"/>
          <w:sz w:val="22"/>
          <w:szCs w:val="22"/>
        </w:rPr>
        <w:t>Trutnov</w:t>
      </w:r>
      <w:r w:rsidR="00A67934" w:rsidRPr="00A40B2A">
        <w:rPr>
          <w:rFonts w:ascii="Arial" w:hAnsi="Arial" w:cs="Arial"/>
          <w:sz w:val="22"/>
          <w:szCs w:val="22"/>
        </w:rPr>
        <w:t>,</w:t>
      </w:r>
    </w:p>
    <w:p w14:paraId="5CA7DAF1" w14:textId="4B1BE4E7" w:rsidR="005F4158" w:rsidRPr="00650BC0" w:rsidRDefault="00FA5B18" w:rsidP="001F0B6A">
      <w:pPr>
        <w:tabs>
          <w:tab w:val="left" w:pos="4111"/>
        </w:tabs>
        <w:spacing w:line="276" w:lineRule="auto"/>
        <w:ind w:left="5103" w:hanging="5103"/>
        <w:rPr>
          <w:rFonts w:ascii="Arial" w:hAnsi="Arial" w:cs="Arial"/>
          <w:bCs/>
          <w:snapToGrid w:val="0"/>
          <w:sz w:val="22"/>
          <w:szCs w:val="22"/>
        </w:rPr>
      </w:pPr>
      <w:r w:rsidRPr="00A40B2A">
        <w:rPr>
          <w:rFonts w:ascii="Arial" w:hAnsi="Arial" w:cs="Arial"/>
          <w:sz w:val="22"/>
          <w:szCs w:val="22"/>
        </w:rPr>
        <w:tab/>
      </w:r>
      <w:r w:rsidR="00A67934" w:rsidRPr="00A40B2A">
        <w:rPr>
          <w:rFonts w:ascii="Arial" w:hAnsi="Arial" w:cs="Arial"/>
          <w:sz w:val="22"/>
          <w:szCs w:val="22"/>
        </w:rPr>
        <w:t>H</w:t>
      </w:r>
      <w:r w:rsidR="00A40B2A" w:rsidRPr="00A40B2A">
        <w:rPr>
          <w:rFonts w:ascii="Arial" w:hAnsi="Arial" w:cs="Arial"/>
          <w:sz w:val="22"/>
          <w:szCs w:val="22"/>
        </w:rPr>
        <w:t>orská 5</w:t>
      </w:r>
      <w:r w:rsidR="00A67934" w:rsidRPr="00A40B2A">
        <w:rPr>
          <w:rFonts w:ascii="Arial" w:hAnsi="Arial" w:cs="Arial"/>
          <w:sz w:val="22"/>
          <w:szCs w:val="22"/>
        </w:rPr>
        <w:t>, 5</w:t>
      </w:r>
      <w:r w:rsidR="00A40B2A" w:rsidRPr="00A40B2A">
        <w:rPr>
          <w:rFonts w:ascii="Arial" w:hAnsi="Arial" w:cs="Arial"/>
          <w:sz w:val="22"/>
          <w:szCs w:val="22"/>
        </w:rPr>
        <w:t>41</w:t>
      </w:r>
      <w:r w:rsidR="00A67934" w:rsidRPr="00A40B2A">
        <w:rPr>
          <w:rFonts w:ascii="Arial" w:hAnsi="Arial" w:cs="Arial"/>
          <w:sz w:val="22"/>
          <w:szCs w:val="22"/>
        </w:rPr>
        <w:t xml:space="preserve"> 0</w:t>
      </w:r>
      <w:r w:rsidR="00A40B2A" w:rsidRPr="00A40B2A">
        <w:rPr>
          <w:rFonts w:ascii="Arial" w:hAnsi="Arial" w:cs="Arial"/>
          <w:sz w:val="22"/>
          <w:szCs w:val="22"/>
        </w:rPr>
        <w:t>1</w:t>
      </w:r>
      <w:r w:rsidR="00A67934" w:rsidRPr="00A40B2A">
        <w:rPr>
          <w:rFonts w:ascii="Arial" w:hAnsi="Arial" w:cs="Arial"/>
          <w:sz w:val="22"/>
          <w:szCs w:val="22"/>
        </w:rPr>
        <w:t xml:space="preserve"> </w:t>
      </w:r>
      <w:r w:rsidR="00A40B2A" w:rsidRPr="00A40B2A">
        <w:rPr>
          <w:rFonts w:ascii="Arial" w:hAnsi="Arial" w:cs="Arial"/>
          <w:sz w:val="22"/>
          <w:szCs w:val="22"/>
        </w:rPr>
        <w:t>Trutnov</w:t>
      </w:r>
    </w:p>
    <w:p w14:paraId="72D34DB8" w14:textId="64D0BA44" w:rsidR="00A95D43" w:rsidRPr="00A40B2A" w:rsidRDefault="00A95D43" w:rsidP="00A40B2A">
      <w:pPr>
        <w:tabs>
          <w:tab w:val="left" w:pos="4111"/>
        </w:tabs>
        <w:spacing w:before="60" w:line="276" w:lineRule="auto"/>
        <w:ind w:left="4820" w:hanging="4820"/>
        <w:rPr>
          <w:rFonts w:ascii="Arial" w:hAnsi="Arial" w:cs="Arial"/>
          <w:snapToGrid w:val="0"/>
          <w:sz w:val="22"/>
          <w:szCs w:val="22"/>
        </w:rPr>
      </w:pPr>
      <w:r w:rsidRPr="00A40B2A">
        <w:rPr>
          <w:rFonts w:ascii="Arial" w:hAnsi="Arial" w:cs="Arial"/>
          <w:bCs/>
          <w:snapToGrid w:val="0"/>
          <w:sz w:val="22"/>
          <w:szCs w:val="22"/>
        </w:rPr>
        <w:t>V technických záležitostech oprávněn jednat:</w:t>
      </w:r>
      <w:r w:rsidR="00A67934" w:rsidRPr="00A40B2A">
        <w:rPr>
          <w:rFonts w:ascii="Arial" w:hAnsi="Arial" w:cs="Arial"/>
          <w:bCs/>
          <w:snapToGrid w:val="0"/>
          <w:sz w:val="22"/>
          <w:szCs w:val="22"/>
        </w:rPr>
        <w:t xml:space="preserve"> Ing. J</w:t>
      </w:r>
      <w:r w:rsidR="00A40B2A" w:rsidRPr="00A40B2A">
        <w:rPr>
          <w:rFonts w:ascii="Arial" w:hAnsi="Arial" w:cs="Arial"/>
          <w:bCs/>
          <w:snapToGrid w:val="0"/>
          <w:sz w:val="22"/>
          <w:szCs w:val="22"/>
        </w:rPr>
        <w:t>osef Kutina</w:t>
      </w:r>
      <w:r w:rsidR="00A67934" w:rsidRPr="00A40B2A">
        <w:rPr>
          <w:rFonts w:ascii="Arial" w:hAnsi="Arial" w:cs="Arial"/>
          <w:bCs/>
          <w:snapToGrid w:val="0"/>
          <w:sz w:val="22"/>
          <w:szCs w:val="22"/>
        </w:rPr>
        <w:t>,</w:t>
      </w:r>
      <w:r w:rsidR="00A40B2A" w:rsidRPr="00A40B2A">
        <w:rPr>
          <w:rFonts w:ascii="Arial" w:hAnsi="Arial" w:cs="Arial"/>
          <w:bCs/>
          <w:snapToGrid w:val="0"/>
          <w:sz w:val="22"/>
          <w:szCs w:val="22"/>
        </w:rPr>
        <w:t xml:space="preserve"> </w:t>
      </w:r>
      <w:r w:rsidR="00A67934" w:rsidRPr="00A40B2A">
        <w:rPr>
          <w:rFonts w:ascii="Arial" w:hAnsi="Arial" w:cs="Arial"/>
          <w:bCs/>
          <w:snapToGrid w:val="0"/>
          <w:sz w:val="22"/>
          <w:szCs w:val="22"/>
        </w:rPr>
        <w:t xml:space="preserve">vedoucí Pobočky </w:t>
      </w:r>
      <w:r w:rsidR="00A40B2A" w:rsidRPr="00A40B2A">
        <w:rPr>
          <w:rFonts w:ascii="Arial" w:hAnsi="Arial" w:cs="Arial"/>
          <w:bCs/>
          <w:snapToGrid w:val="0"/>
          <w:sz w:val="22"/>
          <w:szCs w:val="22"/>
        </w:rPr>
        <w:t>Trutnov</w:t>
      </w:r>
    </w:p>
    <w:p w14:paraId="2F598468" w14:textId="0AFC4593" w:rsidR="00035566" w:rsidRPr="00A40B2A" w:rsidRDefault="00035566" w:rsidP="001F0B6A">
      <w:pPr>
        <w:tabs>
          <w:tab w:val="left" w:pos="4111"/>
        </w:tabs>
        <w:spacing w:line="276" w:lineRule="auto"/>
        <w:ind w:left="4820" w:hanging="4820"/>
        <w:rPr>
          <w:rFonts w:ascii="Arial" w:hAnsi="Arial" w:cs="Arial"/>
          <w:bCs/>
          <w:snapToGrid w:val="0"/>
          <w:sz w:val="22"/>
          <w:szCs w:val="22"/>
        </w:rPr>
      </w:pPr>
      <w:r w:rsidRPr="00A40B2A">
        <w:rPr>
          <w:rFonts w:ascii="Arial" w:hAnsi="Arial" w:cs="Arial"/>
          <w:bCs/>
          <w:snapToGrid w:val="0"/>
          <w:sz w:val="22"/>
          <w:szCs w:val="22"/>
        </w:rPr>
        <w:t>Tel</w:t>
      </w:r>
      <w:r w:rsidR="00FD5C2C" w:rsidRPr="00A40B2A">
        <w:rPr>
          <w:rFonts w:ascii="Arial" w:hAnsi="Arial" w:cs="Arial"/>
          <w:bCs/>
          <w:snapToGrid w:val="0"/>
          <w:sz w:val="22"/>
          <w:szCs w:val="22"/>
        </w:rPr>
        <w:t>.</w:t>
      </w:r>
      <w:r w:rsidR="007B5D0A" w:rsidRPr="00A40B2A">
        <w:rPr>
          <w:rFonts w:ascii="Arial" w:hAnsi="Arial" w:cs="Arial"/>
          <w:bCs/>
          <w:snapToGrid w:val="0"/>
          <w:sz w:val="22"/>
          <w:szCs w:val="22"/>
        </w:rPr>
        <w:t>:</w:t>
      </w:r>
      <w:r w:rsidR="00001810" w:rsidRPr="00A40B2A">
        <w:rPr>
          <w:rFonts w:ascii="Arial" w:hAnsi="Arial" w:cs="Arial"/>
          <w:bCs/>
          <w:snapToGrid w:val="0"/>
          <w:sz w:val="22"/>
          <w:szCs w:val="22"/>
        </w:rPr>
        <w:t xml:space="preserve"> </w:t>
      </w:r>
      <w:r w:rsidR="00001810" w:rsidRPr="00A40B2A">
        <w:rPr>
          <w:rFonts w:ascii="Arial" w:hAnsi="Arial" w:cs="Arial"/>
          <w:bCs/>
          <w:snapToGrid w:val="0"/>
          <w:sz w:val="22"/>
          <w:szCs w:val="22"/>
        </w:rPr>
        <w:tab/>
      </w:r>
      <w:r w:rsidR="00A67934" w:rsidRPr="00A40B2A">
        <w:rPr>
          <w:rFonts w:ascii="Arial" w:hAnsi="Arial" w:cs="Arial"/>
          <w:bCs/>
          <w:snapToGrid w:val="0"/>
          <w:sz w:val="22"/>
          <w:szCs w:val="22"/>
        </w:rPr>
        <w:t>+420</w:t>
      </w:r>
      <w:r w:rsidR="00A40B2A" w:rsidRPr="00A40B2A">
        <w:rPr>
          <w:rFonts w:ascii="Arial" w:hAnsi="Arial" w:cs="Arial"/>
          <w:bCs/>
          <w:snapToGrid w:val="0"/>
          <w:sz w:val="22"/>
          <w:szCs w:val="22"/>
        </w:rPr>
        <w:t> 606 689 085</w:t>
      </w:r>
    </w:p>
    <w:p w14:paraId="5882D0DE" w14:textId="5F67BB75"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A40B2A">
        <w:rPr>
          <w:rFonts w:ascii="Arial" w:hAnsi="Arial" w:cs="Arial"/>
          <w:snapToGrid w:val="0"/>
          <w:sz w:val="22"/>
          <w:szCs w:val="22"/>
        </w:rPr>
        <w:t>e-mail:</w:t>
      </w:r>
      <w:r w:rsidRPr="00A40B2A">
        <w:rPr>
          <w:rFonts w:ascii="Arial" w:hAnsi="Arial" w:cs="Arial"/>
          <w:snapToGrid w:val="0"/>
          <w:sz w:val="22"/>
          <w:szCs w:val="22"/>
        </w:rPr>
        <w:tab/>
      </w:r>
      <w:hyperlink r:id="rId8" w:history="1">
        <w:r w:rsidR="00A40B2A" w:rsidRPr="00A40B2A">
          <w:rPr>
            <w:rStyle w:val="Hypertextovodkaz"/>
            <w:rFonts w:ascii="Arial" w:hAnsi="Arial" w:cs="Arial"/>
            <w:snapToGrid w:val="0"/>
            <w:sz w:val="22"/>
            <w:szCs w:val="22"/>
          </w:rPr>
          <w:t>trutnov.pk@spucr.cz</w:t>
        </w:r>
      </w:hyperlink>
      <w:r w:rsidR="00A40B2A">
        <w:rPr>
          <w:rFonts w:ascii="Arial" w:hAnsi="Arial" w:cs="Arial"/>
          <w:snapToGrid w:val="0"/>
          <w:sz w:val="22"/>
          <w:szCs w:val="22"/>
        </w:rPr>
        <w:t xml:space="preserve"> </w:t>
      </w:r>
    </w:p>
    <w:p w14:paraId="3D87131F" w14:textId="7316F41F"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FA6833">
        <w:rPr>
          <w:rFonts w:ascii="Arial" w:hAnsi="Arial" w:cs="Arial"/>
          <w:snapToGrid w:val="0"/>
          <w:sz w:val="22"/>
          <w:szCs w:val="22"/>
        </w:rPr>
        <w:t>Ing. Jaromír Plecháč</w:t>
      </w:r>
      <w:r w:rsidR="00FD5C2C" w:rsidRPr="00650BC0">
        <w:rPr>
          <w:rFonts w:ascii="Arial" w:hAnsi="Arial" w:cs="Arial"/>
          <w:snapToGrid w:val="0"/>
          <w:sz w:val="22"/>
          <w:szCs w:val="22"/>
        </w:rPr>
        <w:t xml:space="preserve">, Pobočka </w:t>
      </w:r>
      <w:r w:rsidR="00FA6833">
        <w:rPr>
          <w:rFonts w:ascii="Arial" w:hAnsi="Arial" w:cs="Arial"/>
          <w:snapToGrid w:val="0"/>
          <w:sz w:val="22"/>
          <w:szCs w:val="22"/>
        </w:rPr>
        <w:t>Trutnov</w:t>
      </w:r>
    </w:p>
    <w:p w14:paraId="118BE1D7" w14:textId="73ECAC73"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FA6833">
        <w:rPr>
          <w:rFonts w:ascii="Arial" w:hAnsi="Arial" w:cs="Arial"/>
          <w:snapToGrid w:val="0"/>
          <w:sz w:val="22"/>
          <w:szCs w:val="22"/>
        </w:rPr>
        <w:t>+420 724 766 717</w:t>
      </w:r>
    </w:p>
    <w:p w14:paraId="288C81FD" w14:textId="10934BDB"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FA6833" w:rsidRPr="0057149A">
          <w:rPr>
            <w:rStyle w:val="Hypertextovodkaz"/>
            <w:rFonts w:ascii="Arial" w:hAnsi="Arial" w:cs="Arial"/>
            <w:snapToGrid w:val="0"/>
            <w:sz w:val="22"/>
            <w:szCs w:val="22"/>
          </w:rPr>
          <w:t>j.plechac@spucr.cz</w:t>
        </w:r>
      </w:hyperlink>
      <w:r w:rsidR="00FA6833">
        <w:rPr>
          <w:rFonts w:ascii="Arial" w:hAnsi="Arial" w:cs="Arial"/>
          <w:snapToGrid w:val="0"/>
          <w:sz w:val="22"/>
          <w:szCs w:val="22"/>
        </w:rPr>
        <w:t xml:space="preserve"> </w:t>
      </w:r>
    </w:p>
    <w:p w14:paraId="68710D51" w14:textId="0DA7E8E3"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4A5900FD"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 xml:space="preserve">Na Pankráci 546/56, 145 05 Praha </w:t>
      </w:r>
      <w:proofErr w:type="gramStart"/>
      <w:r w:rsidR="00AD2ADF" w:rsidRPr="00650BC0">
        <w:rPr>
          <w:rFonts w:ascii="Arial" w:hAnsi="Arial" w:cs="Arial"/>
          <w:sz w:val="22"/>
          <w:szCs w:val="22"/>
        </w:rPr>
        <w:t>4  -</w:t>
      </w:r>
      <w:proofErr w:type="gramEnd"/>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650BC0" w:rsidRDefault="003127D4" w:rsidP="001F0B6A">
      <w:pPr>
        <w:tabs>
          <w:tab w:val="left" w:pos="4111"/>
        </w:tabs>
        <w:spacing w:line="276" w:lineRule="auto"/>
        <w:rPr>
          <w:rFonts w:ascii="Arial" w:hAnsi="Arial" w:cs="Arial"/>
          <w:sz w:val="22"/>
          <w:szCs w:val="22"/>
          <w:highlight w:val="green"/>
        </w:rPr>
      </w:pPr>
      <w:r>
        <w:rPr>
          <w:rFonts w:ascii="Arial" w:hAnsi="Arial" w:cs="Arial"/>
          <w:sz w:val="22"/>
          <w:szCs w:val="22"/>
        </w:rPr>
        <w:tab/>
      </w:r>
      <w:r w:rsidR="00753969" w:rsidRPr="00650BC0">
        <w:rPr>
          <w:rFonts w:ascii="Arial" w:hAnsi="Arial" w:cs="Arial"/>
          <w:sz w:val="22"/>
          <w:szCs w:val="22"/>
        </w:rPr>
        <w:t xml:space="preserve">Správy Hradec Králové </w:t>
      </w:r>
    </w:p>
    <w:p w14:paraId="3F116DDC" w14:textId="1A1D8BD6" w:rsidR="005F4158" w:rsidRPr="004949F5" w:rsidRDefault="005F4158" w:rsidP="001F0B6A">
      <w:pPr>
        <w:tabs>
          <w:tab w:val="left" w:pos="4111"/>
        </w:tabs>
        <w:spacing w:line="276" w:lineRule="auto"/>
        <w:rPr>
          <w:rFonts w:ascii="Arial" w:hAnsi="Arial" w:cs="Arial"/>
          <w:sz w:val="22"/>
          <w:szCs w:val="22"/>
        </w:rPr>
      </w:pPr>
      <w:r w:rsidRPr="004949F5">
        <w:rPr>
          <w:rFonts w:ascii="Arial" w:hAnsi="Arial" w:cs="Arial"/>
          <w:sz w:val="22"/>
          <w:szCs w:val="22"/>
        </w:rPr>
        <w:t>Ve smluvních záležitostech oprávněn jednat</w:t>
      </w:r>
      <w:r w:rsidR="00FA5B18" w:rsidRPr="004949F5">
        <w:rPr>
          <w:rFonts w:ascii="Arial" w:hAnsi="Arial" w:cs="Arial"/>
          <w:sz w:val="22"/>
          <w:szCs w:val="22"/>
        </w:rPr>
        <w:t>:</w:t>
      </w:r>
      <w:r w:rsidR="00291282" w:rsidRPr="004949F5">
        <w:rPr>
          <w:rFonts w:ascii="Arial" w:hAnsi="Arial" w:cs="Arial"/>
          <w:sz w:val="22"/>
          <w:szCs w:val="22"/>
        </w:rPr>
        <w:t xml:space="preserve"> </w:t>
      </w:r>
      <w:r w:rsidR="00E43640" w:rsidRPr="004949F5">
        <w:rPr>
          <w:rFonts w:ascii="Arial" w:hAnsi="Arial" w:cs="Arial"/>
          <w:sz w:val="22"/>
          <w:szCs w:val="22"/>
        </w:rPr>
        <w:t xml:space="preserve">Ing. </w:t>
      </w:r>
      <w:r w:rsidR="004949F5" w:rsidRPr="004949F5">
        <w:rPr>
          <w:rFonts w:ascii="Arial" w:hAnsi="Arial" w:cs="Arial"/>
          <w:sz w:val="22"/>
          <w:szCs w:val="22"/>
        </w:rPr>
        <w:t>Marek Novotný</w:t>
      </w:r>
    </w:p>
    <w:p w14:paraId="0D73AF00" w14:textId="6ED9C5E4" w:rsidR="00D65601" w:rsidRPr="00650BC0" w:rsidRDefault="00D65601" w:rsidP="001F0B6A">
      <w:pPr>
        <w:tabs>
          <w:tab w:val="left" w:pos="4111"/>
        </w:tabs>
        <w:spacing w:line="276" w:lineRule="auto"/>
        <w:rPr>
          <w:rFonts w:ascii="Arial" w:hAnsi="Arial" w:cs="Arial"/>
          <w:sz w:val="22"/>
          <w:szCs w:val="22"/>
        </w:rPr>
      </w:pPr>
      <w:r w:rsidRPr="004949F5">
        <w:rPr>
          <w:rFonts w:ascii="Arial" w:hAnsi="Arial" w:cs="Arial"/>
          <w:sz w:val="22"/>
          <w:szCs w:val="22"/>
        </w:rPr>
        <w:t>Tel:</w:t>
      </w:r>
      <w:r w:rsidR="00FA5B18" w:rsidRPr="004949F5">
        <w:rPr>
          <w:rFonts w:ascii="Arial" w:hAnsi="Arial" w:cs="Arial"/>
          <w:sz w:val="22"/>
          <w:szCs w:val="22"/>
        </w:rPr>
        <w:tab/>
        <w:t xml:space="preserve">+420 </w:t>
      </w:r>
      <w:r w:rsidR="00E43640" w:rsidRPr="004949F5">
        <w:rPr>
          <w:rFonts w:ascii="Arial" w:hAnsi="Arial" w:cs="Arial"/>
          <w:sz w:val="22"/>
          <w:szCs w:val="22"/>
        </w:rPr>
        <w:t>954 907 2</w:t>
      </w:r>
      <w:r w:rsidR="004949F5" w:rsidRPr="004949F5">
        <w:rPr>
          <w:rFonts w:ascii="Arial" w:hAnsi="Arial" w:cs="Arial"/>
          <w:sz w:val="22"/>
          <w:szCs w:val="22"/>
        </w:rPr>
        <w:t>49</w:t>
      </w:r>
    </w:p>
    <w:p w14:paraId="6047519A" w14:textId="33F62863" w:rsidR="00D65601" w:rsidRPr="00650BC0" w:rsidRDefault="00D65601" w:rsidP="001F0B6A">
      <w:pPr>
        <w:tabs>
          <w:tab w:val="left" w:pos="4111"/>
        </w:tabs>
        <w:spacing w:line="276" w:lineRule="auto"/>
        <w:rPr>
          <w:rFonts w:ascii="Arial" w:hAnsi="Arial" w:cs="Arial"/>
          <w:sz w:val="22"/>
          <w:szCs w:val="22"/>
        </w:rPr>
      </w:pPr>
      <w:r w:rsidRPr="00650BC0">
        <w:rPr>
          <w:rFonts w:ascii="Arial" w:hAnsi="Arial" w:cs="Arial"/>
          <w:sz w:val="22"/>
          <w:szCs w:val="22"/>
        </w:rPr>
        <w:t>e-mail:</w:t>
      </w:r>
      <w:r w:rsidR="00FA5B18" w:rsidRPr="00650BC0">
        <w:rPr>
          <w:rFonts w:ascii="Arial" w:hAnsi="Arial" w:cs="Arial"/>
          <w:sz w:val="22"/>
          <w:szCs w:val="22"/>
        </w:rPr>
        <w:tab/>
      </w:r>
      <w:hyperlink r:id="rId10" w:history="1">
        <w:r w:rsidR="004949F5" w:rsidRPr="00BD0246">
          <w:rPr>
            <w:rStyle w:val="Hypertextovodkaz"/>
            <w:rFonts w:ascii="Arial" w:hAnsi="Arial" w:cs="Arial"/>
            <w:sz w:val="22"/>
            <w:szCs w:val="22"/>
          </w:rPr>
          <w:t>marek.novotny@rsd.cz</w:t>
        </w:r>
      </w:hyperlink>
      <w:r w:rsidR="004949F5">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650BC0"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 xml:space="preserve">503 41 Hradec Králové </w:t>
      </w:r>
    </w:p>
    <w:p w14:paraId="5B25AD3E" w14:textId="705027FB" w:rsidR="00DB0831" w:rsidRPr="00A40B2A" w:rsidRDefault="001C4483" w:rsidP="003127D4">
      <w:pPr>
        <w:tabs>
          <w:tab w:val="left" w:pos="4111"/>
        </w:tabs>
        <w:spacing w:before="120" w:line="276" w:lineRule="auto"/>
        <w:jc w:val="both"/>
        <w:rPr>
          <w:rFonts w:ascii="Arial" w:hAnsi="Arial" w:cs="Arial"/>
          <w:snapToGrid w:val="0"/>
          <w:sz w:val="22"/>
          <w:szCs w:val="22"/>
        </w:rPr>
      </w:pPr>
      <w:r w:rsidRPr="00650BC0">
        <w:rPr>
          <w:rFonts w:ascii="Arial" w:hAnsi="Arial" w:cs="Arial"/>
          <w:snapToGrid w:val="0"/>
          <w:sz w:val="22"/>
          <w:szCs w:val="22"/>
        </w:rPr>
        <w:lastRenderedPageBreak/>
        <w:t xml:space="preserve">V </w:t>
      </w:r>
      <w:r w:rsidR="00DB0831" w:rsidRPr="00650BC0">
        <w:rPr>
          <w:rFonts w:ascii="Arial" w:hAnsi="Arial" w:cs="Arial"/>
          <w:snapToGrid w:val="0"/>
          <w:sz w:val="22"/>
          <w:szCs w:val="22"/>
        </w:rPr>
        <w:t xml:space="preserve">technických záležitostech </w:t>
      </w:r>
      <w:r w:rsidR="00DB0831" w:rsidRPr="00A40B2A">
        <w:rPr>
          <w:rFonts w:ascii="Arial" w:hAnsi="Arial" w:cs="Arial"/>
          <w:snapToGrid w:val="0"/>
          <w:sz w:val="22"/>
          <w:szCs w:val="22"/>
        </w:rPr>
        <w:t>opr</w:t>
      </w:r>
      <w:r w:rsidR="007912D0" w:rsidRPr="00A40B2A">
        <w:rPr>
          <w:rFonts w:ascii="Arial" w:hAnsi="Arial" w:cs="Arial"/>
          <w:snapToGrid w:val="0"/>
          <w:sz w:val="22"/>
          <w:szCs w:val="22"/>
        </w:rPr>
        <w:t>ávněn jednat:</w:t>
      </w:r>
      <w:r w:rsidR="00291282" w:rsidRPr="00A40B2A">
        <w:rPr>
          <w:rFonts w:ascii="Arial" w:hAnsi="Arial" w:cs="Arial"/>
          <w:snapToGrid w:val="0"/>
          <w:sz w:val="22"/>
          <w:szCs w:val="22"/>
        </w:rPr>
        <w:t xml:space="preserve"> </w:t>
      </w:r>
      <w:r w:rsidR="00726260" w:rsidRPr="00A40B2A">
        <w:rPr>
          <w:rFonts w:ascii="Arial" w:hAnsi="Arial" w:cs="Arial"/>
          <w:snapToGrid w:val="0"/>
          <w:sz w:val="22"/>
          <w:szCs w:val="22"/>
        </w:rPr>
        <w:t>Ing. Michal Doubek</w:t>
      </w:r>
    </w:p>
    <w:p w14:paraId="4F740827" w14:textId="7DDB6EF7" w:rsidR="007912D0" w:rsidRPr="00A40B2A" w:rsidRDefault="001C4483" w:rsidP="001F0B6A">
      <w:pPr>
        <w:tabs>
          <w:tab w:val="left" w:pos="4111"/>
        </w:tabs>
        <w:spacing w:line="276" w:lineRule="auto"/>
        <w:jc w:val="both"/>
        <w:rPr>
          <w:rFonts w:ascii="Arial" w:hAnsi="Arial" w:cs="Arial"/>
          <w:snapToGrid w:val="0"/>
          <w:sz w:val="22"/>
          <w:szCs w:val="22"/>
        </w:rPr>
      </w:pPr>
      <w:r w:rsidRPr="00A40B2A">
        <w:rPr>
          <w:rFonts w:ascii="Arial" w:hAnsi="Arial" w:cs="Arial"/>
          <w:snapToGrid w:val="0"/>
          <w:sz w:val="22"/>
          <w:szCs w:val="22"/>
        </w:rPr>
        <w:t>T</w:t>
      </w:r>
      <w:r w:rsidR="00DB0831" w:rsidRPr="00A40B2A">
        <w:rPr>
          <w:rFonts w:ascii="Arial" w:hAnsi="Arial" w:cs="Arial"/>
          <w:snapToGrid w:val="0"/>
          <w:sz w:val="22"/>
          <w:szCs w:val="22"/>
        </w:rPr>
        <w:t xml:space="preserve">el. </w:t>
      </w:r>
      <w:r w:rsidR="00DB0831" w:rsidRPr="00A40B2A">
        <w:rPr>
          <w:rFonts w:ascii="Arial" w:hAnsi="Arial" w:cs="Arial"/>
          <w:snapToGrid w:val="0"/>
          <w:sz w:val="22"/>
          <w:szCs w:val="22"/>
        </w:rPr>
        <w:tab/>
      </w:r>
      <w:r w:rsidR="00726260" w:rsidRPr="00A40B2A">
        <w:rPr>
          <w:rFonts w:ascii="Arial" w:hAnsi="Arial" w:cs="Arial"/>
          <w:snapToGrid w:val="0"/>
          <w:sz w:val="22"/>
          <w:szCs w:val="22"/>
        </w:rPr>
        <w:t>+420 954 907 246</w:t>
      </w:r>
    </w:p>
    <w:p w14:paraId="316997D6" w14:textId="597BAC36" w:rsidR="007B5D0A" w:rsidRPr="00650BC0" w:rsidRDefault="00DB0831" w:rsidP="001F0B6A">
      <w:pPr>
        <w:tabs>
          <w:tab w:val="left" w:pos="4111"/>
        </w:tabs>
        <w:spacing w:line="276" w:lineRule="auto"/>
        <w:jc w:val="both"/>
        <w:rPr>
          <w:rFonts w:ascii="Arial" w:hAnsi="Arial" w:cs="Arial"/>
          <w:snapToGrid w:val="0"/>
          <w:sz w:val="22"/>
          <w:szCs w:val="22"/>
        </w:rPr>
      </w:pPr>
      <w:r w:rsidRPr="00A40B2A">
        <w:rPr>
          <w:rFonts w:ascii="Arial" w:hAnsi="Arial" w:cs="Arial"/>
          <w:snapToGrid w:val="0"/>
          <w:sz w:val="22"/>
          <w:szCs w:val="22"/>
        </w:rPr>
        <w:t>e</w:t>
      </w:r>
      <w:r w:rsidR="001C4483" w:rsidRPr="00A40B2A">
        <w:rPr>
          <w:rFonts w:ascii="Arial" w:hAnsi="Arial" w:cs="Arial"/>
          <w:snapToGrid w:val="0"/>
          <w:sz w:val="22"/>
          <w:szCs w:val="22"/>
        </w:rPr>
        <w:t>-</w:t>
      </w:r>
      <w:r w:rsidRPr="00A40B2A">
        <w:rPr>
          <w:rFonts w:ascii="Arial" w:hAnsi="Arial" w:cs="Arial"/>
          <w:snapToGrid w:val="0"/>
          <w:sz w:val="22"/>
          <w:szCs w:val="22"/>
        </w:rPr>
        <w:t>mail:</w:t>
      </w:r>
      <w:r w:rsidR="004824BB" w:rsidRPr="00A40B2A">
        <w:rPr>
          <w:rFonts w:ascii="Arial" w:hAnsi="Arial" w:cs="Arial"/>
          <w:snapToGrid w:val="0"/>
          <w:sz w:val="22"/>
          <w:szCs w:val="22"/>
        </w:rPr>
        <w:tab/>
      </w:r>
      <w:hyperlink r:id="rId11" w:history="1">
        <w:r w:rsidR="003127D4" w:rsidRPr="00A40B2A">
          <w:rPr>
            <w:rStyle w:val="Hypertextovodkaz"/>
            <w:rFonts w:ascii="Arial" w:hAnsi="Arial" w:cs="Arial"/>
            <w:snapToGrid w:val="0"/>
            <w:sz w:val="22"/>
            <w:szCs w:val="22"/>
          </w:rPr>
          <w:t>michal.doubek@rsd.cz</w:t>
        </w:r>
      </w:hyperlink>
      <w:r w:rsidR="003127D4">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13105060" w:rsidR="001F0B6A" w:rsidRPr="003127D4" w:rsidRDefault="001F0B6A" w:rsidP="001F0B6A">
      <w:pPr>
        <w:tabs>
          <w:tab w:val="left" w:pos="284"/>
        </w:tabs>
        <w:spacing w:line="276" w:lineRule="auto"/>
        <w:jc w:val="both"/>
        <w:rPr>
          <w:rFonts w:ascii="Arial" w:hAnsi="Arial" w:cs="Arial"/>
          <w:snapToGrid w:val="0"/>
          <w:sz w:val="22"/>
          <w:szCs w:val="22"/>
        </w:rPr>
      </w:pP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387D13"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názvem </w:t>
      </w:r>
      <w:r w:rsidR="004646C9">
        <w:rPr>
          <w:rFonts w:ascii="Arial" w:hAnsi="Arial" w:cs="Arial"/>
          <w:b/>
          <w:bCs/>
          <w:snapToGrid w:val="0"/>
          <w:sz w:val="22"/>
          <w:szCs w:val="22"/>
        </w:rPr>
        <w:t>„</w:t>
      </w:r>
      <w:r w:rsidR="004646C9" w:rsidRPr="00597024">
        <w:rPr>
          <w:rFonts w:ascii="Arial" w:hAnsi="Arial" w:cs="Arial"/>
          <w:b/>
          <w:sz w:val="22"/>
          <w:szCs w:val="22"/>
        </w:rPr>
        <w:t>Studie pozemkových úprav souvisejících s výstavbou vybraných staveb ŘSD ČR, Správy Hradec Králové, na území Královéhradeckého kraje</w:t>
      </w:r>
      <w:r w:rsidR="004646C9">
        <w:rPr>
          <w:rFonts w:ascii="Arial" w:hAnsi="Arial" w:cs="Arial"/>
          <w:b/>
          <w:sz w:val="22"/>
          <w:szCs w:val="22"/>
        </w:rPr>
        <w:t xml:space="preserve">“, </w:t>
      </w:r>
    </w:p>
    <w:p w14:paraId="6C8F5DF9" w14:textId="11CF441D" w:rsidR="00CC73F0" w:rsidRPr="00387D13" w:rsidRDefault="004646C9" w:rsidP="00291282">
      <w:pPr>
        <w:pStyle w:val="Zkladntextodsazen2"/>
        <w:spacing w:before="0" w:after="120" w:line="276" w:lineRule="auto"/>
        <w:ind w:left="567" w:firstLine="0"/>
        <w:rPr>
          <w:rFonts w:ascii="Arial" w:hAnsi="Arial" w:cs="Arial"/>
          <w:sz w:val="22"/>
          <w:szCs w:val="22"/>
        </w:rPr>
      </w:pPr>
      <w:r w:rsidRPr="00A40B2A">
        <w:rPr>
          <w:rFonts w:ascii="Arial" w:hAnsi="Arial" w:cs="Arial"/>
          <w:b/>
          <w:sz w:val="22"/>
          <w:szCs w:val="22"/>
        </w:rPr>
        <w:t xml:space="preserve">část </w:t>
      </w:r>
      <w:r w:rsidR="00A40B2A" w:rsidRPr="00A40B2A">
        <w:rPr>
          <w:rFonts w:ascii="Arial" w:hAnsi="Arial" w:cs="Arial"/>
          <w:b/>
          <w:sz w:val="22"/>
          <w:szCs w:val="22"/>
        </w:rPr>
        <w:t>6</w:t>
      </w:r>
      <w:r w:rsidRPr="00A40B2A">
        <w:rPr>
          <w:rFonts w:ascii="Arial" w:hAnsi="Arial" w:cs="Arial"/>
          <w:b/>
          <w:sz w:val="22"/>
          <w:szCs w:val="22"/>
        </w:rPr>
        <w:t xml:space="preserve"> veřejné zakázky: </w:t>
      </w:r>
      <w:r w:rsidR="00597024" w:rsidRPr="00A40B2A">
        <w:rPr>
          <w:rFonts w:ascii="Arial" w:hAnsi="Arial" w:cs="Arial"/>
          <w:b/>
          <w:bCs/>
          <w:snapToGrid w:val="0"/>
          <w:sz w:val="22"/>
          <w:szCs w:val="22"/>
        </w:rPr>
        <w:t xml:space="preserve">Studie </w:t>
      </w:r>
      <w:r w:rsidR="00A40B2A" w:rsidRPr="00A40B2A">
        <w:rPr>
          <w:rFonts w:ascii="Arial" w:hAnsi="Arial" w:cs="Arial"/>
          <w:b/>
          <w:bCs/>
          <w:snapToGrid w:val="0"/>
          <w:sz w:val="22"/>
          <w:szCs w:val="22"/>
        </w:rPr>
        <w:t xml:space="preserve">za účelem zpracování </w:t>
      </w:r>
      <w:r w:rsidR="00597024" w:rsidRPr="00A40B2A">
        <w:rPr>
          <w:rFonts w:ascii="Arial" w:hAnsi="Arial" w:cs="Arial"/>
          <w:b/>
          <w:bCs/>
          <w:snapToGrid w:val="0"/>
          <w:sz w:val="22"/>
          <w:szCs w:val="22"/>
        </w:rPr>
        <w:t xml:space="preserve">pozemkových úprav </w:t>
      </w:r>
      <w:r w:rsidR="00A40B2A" w:rsidRPr="00A40B2A">
        <w:rPr>
          <w:rFonts w:ascii="Arial" w:hAnsi="Arial" w:cs="Arial"/>
          <w:b/>
          <w:bCs/>
          <w:snapToGrid w:val="0"/>
          <w:sz w:val="22"/>
          <w:szCs w:val="22"/>
        </w:rPr>
        <w:t xml:space="preserve">vyvolaných </w:t>
      </w:r>
      <w:r w:rsidR="00597024" w:rsidRPr="00A40B2A">
        <w:rPr>
          <w:rFonts w:ascii="Arial" w:hAnsi="Arial" w:cs="Arial"/>
          <w:b/>
          <w:bCs/>
          <w:snapToGrid w:val="0"/>
          <w:sz w:val="22"/>
          <w:szCs w:val="22"/>
        </w:rPr>
        <w:t>výstavb</w:t>
      </w:r>
      <w:r w:rsidR="00A40B2A" w:rsidRPr="00A40B2A">
        <w:rPr>
          <w:rFonts w:ascii="Arial" w:hAnsi="Arial" w:cs="Arial"/>
          <w:b/>
          <w:bCs/>
          <w:snapToGrid w:val="0"/>
          <w:sz w:val="22"/>
          <w:szCs w:val="22"/>
        </w:rPr>
        <w:t>ou</w:t>
      </w:r>
      <w:r w:rsidR="00597024" w:rsidRPr="00A40B2A">
        <w:rPr>
          <w:rFonts w:ascii="Arial" w:hAnsi="Arial" w:cs="Arial"/>
          <w:b/>
          <w:bCs/>
          <w:snapToGrid w:val="0"/>
          <w:sz w:val="22"/>
          <w:szCs w:val="22"/>
        </w:rPr>
        <w:t xml:space="preserve"> dálnice D</w:t>
      </w:r>
      <w:r w:rsidR="00A40B2A" w:rsidRPr="00A40B2A">
        <w:rPr>
          <w:rFonts w:ascii="Arial" w:hAnsi="Arial" w:cs="Arial"/>
          <w:b/>
          <w:bCs/>
          <w:snapToGrid w:val="0"/>
          <w:sz w:val="22"/>
          <w:szCs w:val="22"/>
        </w:rPr>
        <w:t>11 1109 Trutnov – státní hranice ČR/PR</w:t>
      </w:r>
      <w:r w:rsidR="00CC73F0" w:rsidRPr="00A40B2A">
        <w:rPr>
          <w:rFonts w:ascii="Arial" w:hAnsi="Arial" w:cs="Arial"/>
          <w:snapToGrid w:val="0"/>
          <w:sz w:val="22"/>
          <w:szCs w:val="22"/>
        </w:rPr>
        <w:t>.</w:t>
      </w:r>
    </w:p>
    <w:p w14:paraId="63370957" w14:textId="01A0E1A4"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650BC0">
        <w:rPr>
          <w:rFonts w:ascii="Arial" w:hAnsi="Arial" w:cs="Arial"/>
          <w:sz w:val="22"/>
          <w:szCs w:val="22"/>
        </w:rPr>
        <w:t>Předmětem</w:t>
      </w:r>
      <w:r w:rsidRPr="00650BC0">
        <w:rPr>
          <w:rFonts w:ascii="Arial" w:hAnsi="Arial" w:cs="Arial"/>
          <w:snapToGrid w:val="0"/>
          <w:sz w:val="22"/>
          <w:szCs w:val="22"/>
        </w:rPr>
        <w:t xml:space="preserve"> této smlouvy je </w:t>
      </w:r>
      <w:r>
        <w:rPr>
          <w:rFonts w:ascii="Arial" w:hAnsi="Arial" w:cs="Arial"/>
          <w:snapToGrid w:val="0"/>
          <w:sz w:val="22"/>
          <w:szCs w:val="22"/>
        </w:rPr>
        <w:t>závazek</w:t>
      </w:r>
      <w:r w:rsidRPr="00650BC0">
        <w:rPr>
          <w:rFonts w:ascii="Arial" w:hAnsi="Arial" w:cs="Arial"/>
          <w:snapToGrid w:val="0"/>
          <w:sz w:val="22"/>
          <w:szCs w:val="22"/>
        </w:rPr>
        <w:t xml:space="preserve"> zhotovitele provést dílo </w:t>
      </w:r>
      <w:r>
        <w:rPr>
          <w:rFonts w:ascii="Arial" w:hAnsi="Arial" w:cs="Arial"/>
          <w:snapToGrid w:val="0"/>
          <w:sz w:val="22"/>
          <w:szCs w:val="22"/>
        </w:rPr>
        <w:t xml:space="preserve">vypracování studie </w:t>
      </w:r>
      <w:r w:rsidRPr="00A40B2A">
        <w:rPr>
          <w:rFonts w:ascii="Arial" w:hAnsi="Arial" w:cs="Arial"/>
          <w:snapToGrid w:val="0"/>
          <w:sz w:val="22"/>
          <w:szCs w:val="22"/>
        </w:rPr>
        <w:t xml:space="preserve">pozemkových úprav souvisejících s výstavbou </w:t>
      </w:r>
      <w:r w:rsidRPr="00A40B2A">
        <w:rPr>
          <w:rFonts w:ascii="Arial" w:hAnsi="Arial" w:cs="Arial"/>
          <w:b/>
          <w:bCs/>
          <w:snapToGrid w:val="0"/>
          <w:sz w:val="22"/>
          <w:szCs w:val="22"/>
        </w:rPr>
        <w:t>dálnice D</w:t>
      </w:r>
      <w:r w:rsidR="00A40B2A" w:rsidRPr="00A40B2A">
        <w:rPr>
          <w:rFonts w:ascii="Arial" w:hAnsi="Arial" w:cs="Arial"/>
          <w:b/>
          <w:bCs/>
          <w:snapToGrid w:val="0"/>
          <w:sz w:val="22"/>
          <w:szCs w:val="22"/>
        </w:rPr>
        <w:t>11</w:t>
      </w:r>
      <w:r w:rsidRPr="00A40B2A">
        <w:rPr>
          <w:rFonts w:ascii="Arial" w:hAnsi="Arial" w:cs="Arial"/>
          <w:b/>
          <w:bCs/>
          <w:snapToGrid w:val="0"/>
          <w:sz w:val="22"/>
          <w:szCs w:val="22"/>
        </w:rPr>
        <w:t xml:space="preserve"> </w:t>
      </w:r>
      <w:r w:rsidR="00A40B2A" w:rsidRPr="00A40B2A">
        <w:rPr>
          <w:rFonts w:ascii="Arial" w:hAnsi="Arial" w:cs="Arial"/>
          <w:b/>
          <w:bCs/>
          <w:snapToGrid w:val="0"/>
          <w:sz w:val="22"/>
          <w:szCs w:val="22"/>
        </w:rPr>
        <w:t>1109 Trutnov – státní hranice ČR/PR</w:t>
      </w:r>
      <w:r w:rsidR="00132307" w:rsidRPr="00A40B2A">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311E8F94" w:rsidR="005F73C1" w:rsidRPr="00A40B2A" w:rsidRDefault="002E6D96" w:rsidP="0026519F">
      <w:pPr>
        <w:pStyle w:val="Zkladntextodsazen2"/>
        <w:numPr>
          <w:ilvl w:val="0"/>
          <w:numId w:val="16"/>
        </w:numPr>
        <w:spacing w:before="0" w:after="120" w:line="276" w:lineRule="auto"/>
        <w:ind w:left="573" w:hanging="567"/>
        <w:rPr>
          <w:rFonts w:ascii="Arial" w:hAnsi="Arial" w:cs="Arial"/>
          <w:sz w:val="22"/>
          <w:szCs w:val="22"/>
        </w:rPr>
      </w:pPr>
      <w:r w:rsidRPr="00A40B2A">
        <w:rPr>
          <w:rFonts w:ascii="Arial" w:hAnsi="Arial" w:cs="Arial"/>
          <w:sz w:val="22"/>
          <w:szCs w:val="22"/>
        </w:rPr>
        <w:t>Zhotovitel se touto smlouvou zavazuje provést pro objednatele dílo spočívající ve</w:t>
      </w:r>
      <w:r w:rsidR="001D286B" w:rsidRPr="00A40B2A">
        <w:rPr>
          <w:rFonts w:ascii="Arial" w:hAnsi="Arial" w:cs="Arial"/>
          <w:sz w:val="22"/>
          <w:szCs w:val="22"/>
        </w:rPr>
        <w:t> </w:t>
      </w:r>
      <w:r w:rsidR="000028D6" w:rsidRPr="00A40B2A">
        <w:rPr>
          <w:rFonts w:ascii="Arial" w:hAnsi="Arial" w:cs="Arial"/>
          <w:sz w:val="22"/>
          <w:szCs w:val="22"/>
        </w:rPr>
        <w:t>vypracování</w:t>
      </w:r>
      <w:r w:rsidR="004A7AFF" w:rsidRPr="00A40B2A">
        <w:rPr>
          <w:rFonts w:ascii="Arial" w:hAnsi="Arial" w:cs="Arial"/>
          <w:sz w:val="22"/>
          <w:szCs w:val="22"/>
        </w:rPr>
        <w:t xml:space="preserve"> </w:t>
      </w:r>
      <w:r w:rsidR="009401EB" w:rsidRPr="00A40B2A">
        <w:rPr>
          <w:rFonts w:ascii="Arial" w:hAnsi="Arial" w:cs="Arial"/>
          <w:sz w:val="22"/>
          <w:szCs w:val="22"/>
        </w:rPr>
        <w:t xml:space="preserve">studie, která předchází </w:t>
      </w:r>
      <w:r w:rsidR="00606434" w:rsidRPr="00A40B2A">
        <w:rPr>
          <w:rFonts w:ascii="Arial" w:hAnsi="Arial" w:cs="Arial"/>
          <w:sz w:val="22"/>
          <w:szCs w:val="22"/>
        </w:rPr>
        <w:t>zpracování komplexních pozemkových úprav v </w:t>
      </w:r>
      <w:r w:rsidR="00606434" w:rsidRPr="00A55902">
        <w:rPr>
          <w:rFonts w:ascii="Arial" w:hAnsi="Arial" w:cs="Arial"/>
          <w:sz w:val="22"/>
          <w:szCs w:val="22"/>
        </w:rPr>
        <w:t>katastrálních územích</w:t>
      </w:r>
      <w:r w:rsidR="008006BC" w:rsidRPr="00A55902">
        <w:rPr>
          <w:rFonts w:ascii="Arial" w:hAnsi="Arial" w:cs="Arial"/>
          <w:sz w:val="22"/>
          <w:szCs w:val="22"/>
        </w:rPr>
        <w:t xml:space="preserve"> </w:t>
      </w:r>
      <w:r w:rsidR="00A40B2A" w:rsidRPr="00A55902">
        <w:rPr>
          <w:rFonts w:ascii="Arial" w:hAnsi="Arial" w:cs="Arial"/>
          <w:sz w:val="22"/>
          <w:szCs w:val="22"/>
        </w:rPr>
        <w:t xml:space="preserve">Střítež u Trutnova, Bojiště u Trutnova, Starý Rokytník, Bohuslavice nad Úpou, Trutnov, Poříčí u Trutnova, </w:t>
      </w:r>
      <w:proofErr w:type="spellStart"/>
      <w:r w:rsidR="00A40B2A" w:rsidRPr="00A55902">
        <w:rPr>
          <w:rFonts w:ascii="Arial" w:hAnsi="Arial" w:cs="Arial"/>
          <w:sz w:val="22"/>
          <w:szCs w:val="22"/>
        </w:rPr>
        <w:t>Debrné</w:t>
      </w:r>
      <w:proofErr w:type="spellEnd"/>
      <w:r w:rsidR="00A40B2A" w:rsidRPr="00A55902">
        <w:rPr>
          <w:rFonts w:ascii="Arial" w:hAnsi="Arial" w:cs="Arial"/>
          <w:sz w:val="22"/>
          <w:szCs w:val="22"/>
        </w:rPr>
        <w:t xml:space="preserve">, Zlatá Olešnice, Křenov u Žacléře, Bernartice, Lampertice a Královec (okres Trutnov), </w:t>
      </w:r>
      <w:r w:rsidR="003B40E2" w:rsidRPr="00A55902">
        <w:rPr>
          <w:rFonts w:ascii="Arial" w:hAnsi="Arial" w:cs="Arial"/>
          <w:sz w:val="22"/>
          <w:szCs w:val="22"/>
        </w:rPr>
        <w:t>kterými bude procházet stavba</w:t>
      </w:r>
      <w:r w:rsidR="00856A79" w:rsidRPr="00A55902">
        <w:rPr>
          <w:rFonts w:ascii="Arial" w:hAnsi="Arial" w:cs="Arial"/>
          <w:sz w:val="22"/>
          <w:szCs w:val="22"/>
        </w:rPr>
        <w:t>.</w:t>
      </w:r>
      <w:r w:rsidR="003B40E2" w:rsidRPr="00A55902">
        <w:rPr>
          <w:rFonts w:ascii="Arial" w:hAnsi="Arial" w:cs="Arial"/>
          <w:sz w:val="22"/>
          <w:szCs w:val="22"/>
        </w:rPr>
        <w:t xml:space="preserve"> Výše uvedená studie stanoví rozsah území, které bude dotčeno činností </w:t>
      </w:r>
      <w:r w:rsidR="003B40E2" w:rsidRPr="00A40B2A">
        <w:rPr>
          <w:rFonts w:ascii="Arial" w:hAnsi="Arial" w:cs="Arial"/>
          <w:sz w:val="22"/>
          <w:szCs w:val="22"/>
        </w:rPr>
        <w:t xml:space="preserve">Objednatele </w:t>
      </w:r>
      <w:r w:rsidR="00132307" w:rsidRPr="00A40B2A">
        <w:rPr>
          <w:rFonts w:ascii="Arial" w:hAnsi="Arial" w:cs="Arial"/>
          <w:sz w:val="22"/>
          <w:szCs w:val="22"/>
        </w:rPr>
        <w:t>I</w:t>
      </w:r>
      <w:r w:rsidR="003B40E2" w:rsidRPr="00A40B2A">
        <w:rPr>
          <w:rFonts w:ascii="Arial" w:hAnsi="Arial" w:cs="Arial"/>
          <w:sz w:val="22"/>
          <w:szCs w:val="22"/>
        </w:rPr>
        <w:t>I – Ředitelství silnic a dálnic České republiky</w:t>
      </w:r>
      <w:r w:rsidR="007865A1" w:rsidRPr="00A40B2A">
        <w:rPr>
          <w:rFonts w:ascii="Arial" w:hAnsi="Arial" w:cs="Arial"/>
          <w:sz w:val="22"/>
          <w:szCs w:val="22"/>
        </w:rPr>
        <w:t xml:space="preserve"> (dále jen „ŘSD ČR“)</w:t>
      </w:r>
      <w:r w:rsidR="003B40E2" w:rsidRPr="00A40B2A">
        <w:rPr>
          <w:rFonts w:ascii="Arial" w:hAnsi="Arial" w:cs="Arial"/>
          <w:sz w:val="22"/>
          <w:szCs w:val="22"/>
        </w:rPr>
        <w:t xml:space="preserve"> jako stavebníka a jeho podíl na nákladech pozemkových úprav v uvedených katastrálních územích.</w:t>
      </w:r>
      <w:r w:rsidR="00AB763C" w:rsidRPr="00A40B2A">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054B340D"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A40B2A">
        <w:rPr>
          <w:rFonts w:ascii="Arial" w:hAnsi="Arial" w:cs="Arial"/>
          <w:sz w:val="22"/>
          <w:szCs w:val="22"/>
        </w:rPr>
        <w:t>se v jednotlivých katastrálních územích. Celkový předpokládaný rozsah území pro studii činí</w:t>
      </w:r>
      <w:r w:rsidR="00423859" w:rsidRPr="00A40B2A">
        <w:rPr>
          <w:rFonts w:ascii="Arial" w:hAnsi="Arial" w:cs="Arial"/>
          <w:sz w:val="22"/>
          <w:szCs w:val="22"/>
        </w:rPr>
        <w:t> </w:t>
      </w:r>
      <w:r w:rsidRPr="00A40B2A">
        <w:rPr>
          <w:rFonts w:ascii="Arial" w:hAnsi="Arial" w:cs="Arial"/>
          <w:sz w:val="22"/>
          <w:szCs w:val="22"/>
        </w:rPr>
        <w:t>4</w:t>
      </w:r>
      <w:r w:rsidR="00A40B2A" w:rsidRPr="00A40B2A">
        <w:rPr>
          <w:rFonts w:ascii="Arial" w:hAnsi="Arial" w:cs="Arial"/>
          <w:sz w:val="22"/>
          <w:szCs w:val="22"/>
        </w:rPr>
        <w:t>350</w:t>
      </w:r>
      <w:r w:rsidRPr="00A40B2A">
        <w:rPr>
          <w:rFonts w:ascii="Arial" w:hAnsi="Arial" w:cs="Arial"/>
          <w:sz w:val="22"/>
          <w:szCs w:val="22"/>
        </w:rPr>
        <w:t xml:space="preserve">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1EE7522C"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ohledem na podmínky daného 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2B481BAE" w14:textId="4EEC508C" w:rsidR="00423859" w:rsidRDefault="00423859" w:rsidP="00423859">
      <w:pPr>
        <w:spacing w:after="120" w:line="276" w:lineRule="auto"/>
        <w:jc w:val="both"/>
        <w:rPr>
          <w:rFonts w:ascii="Arial" w:hAnsi="Arial" w:cs="Arial"/>
          <w:sz w:val="22"/>
          <w:szCs w:val="22"/>
        </w:rPr>
      </w:pPr>
    </w:p>
    <w:p w14:paraId="5ADADD81" w14:textId="77777777" w:rsidR="00A55902" w:rsidRPr="00650BC0" w:rsidRDefault="00A55902" w:rsidP="00423859">
      <w:pPr>
        <w:spacing w:after="120" w:line="276" w:lineRule="auto"/>
        <w:jc w:val="both"/>
        <w:rPr>
          <w:rFonts w:ascii="Arial" w:hAnsi="Arial" w:cs="Arial"/>
          <w:sz w:val="22"/>
          <w:szCs w:val="22"/>
        </w:rPr>
      </w:pP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7DA0A377" w:rsidR="00F943C0" w:rsidRDefault="00F943C0">
      <w:pPr>
        <w:rPr>
          <w:rFonts w:ascii="Arial" w:hAnsi="Arial" w:cs="Arial"/>
          <w:snapToGrid w:val="0"/>
          <w:sz w:val="22"/>
          <w:szCs w:val="22"/>
        </w:rPr>
      </w:pP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5F15C1A3" w14:textId="77777777" w:rsidR="003131A2" w:rsidRPr="003131A2" w:rsidRDefault="003131A2" w:rsidP="003131A2">
      <w:pPr>
        <w:rPr>
          <w:lang w:val="x-none" w:eastAsia="en-US"/>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15EBD15C" w14:textId="1C6C09A3" w:rsidR="006F1DFF" w:rsidRDefault="006F1DFF" w:rsidP="00727DBC">
      <w:pPr>
        <w:tabs>
          <w:tab w:val="left" w:pos="1036"/>
        </w:tabs>
        <w:spacing w:line="276" w:lineRule="auto"/>
        <w:ind w:right="20"/>
        <w:jc w:val="both"/>
        <w:rPr>
          <w:rFonts w:ascii="Arial" w:hAnsi="Arial" w:cs="Arial"/>
          <w:b/>
          <w:sz w:val="22"/>
          <w:szCs w:val="22"/>
        </w:rPr>
      </w:pP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50827576" w14:textId="51201EC5" w:rsidR="003131A2" w:rsidRDefault="003131A2">
      <w:pPr>
        <w:rPr>
          <w:rFonts w:ascii="Arial" w:hAnsi="Arial" w:cs="Arial"/>
          <w:sz w:val="22"/>
          <w:szCs w:val="22"/>
        </w:rPr>
      </w:pPr>
      <w:r>
        <w:rPr>
          <w:rFonts w:ascii="Arial" w:hAnsi="Arial" w:cs="Arial"/>
          <w:sz w:val="22"/>
          <w:szCs w:val="22"/>
        </w:rPr>
        <w:br w:type="page"/>
      </w: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5A32A0D5" w14:textId="35CC1C46" w:rsidR="00646330" w:rsidRDefault="00646330" w:rsidP="00C205F5">
      <w:pPr>
        <w:spacing w:line="276" w:lineRule="auto"/>
        <w:jc w:val="both"/>
        <w:rPr>
          <w:rFonts w:ascii="Arial" w:hAnsi="Arial" w:cs="Arial"/>
          <w:sz w:val="22"/>
          <w:szCs w:val="22"/>
        </w:rPr>
      </w:pPr>
    </w:p>
    <w:p w14:paraId="7FA8BCC4" w14:textId="0C82C945" w:rsidR="003131A2" w:rsidRDefault="003131A2">
      <w:pPr>
        <w:rPr>
          <w:rFonts w:ascii="Arial" w:hAnsi="Arial" w:cs="Arial"/>
          <w:sz w:val="22"/>
          <w:szCs w:val="22"/>
        </w:rPr>
      </w:pPr>
      <w:r>
        <w:rPr>
          <w:rFonts w:ascii="Arial" w:hAnsi="Arial" w:cs="Arial"/>
          <w:sz w:val="22"/>
          <w:szCs w:val="22"/>
        </w:rPr>
        <w:br w:type="page"/>
      </w: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C205F5"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C205F5">
        <w:rPr>
          <w:rFonts w:ascii="Arial" w:hAnsi="Arial" w:cs="Arial"/>
        </w:rPr>
        <w:t>Předání a</w:t>
      </w:r>
      <w:r w:rsidR="002E6D96" w:rsidRPr="00C205F5">
        <w:rPr>
          <w:rFonts w:ascii="Arial" w:hAnsi="Arial" w:cs="Arial"/>
        </w:rPr>
        <w:t xml:space="preserve"> pře</w:t>
      </w:r>
      <w:r w:rsidR="00C86E68" w:rsidRPr="00C205F5">
        <w:rPr>
          <w:rFonts w:ascii="Arial" w:hAnsi="Arial" w:cs="Arial"/>
        </w:rPr>
        <w:t>vzetí</w:t>
      </w:r>
      <w:r w:rsidR="002E6D96" w:rsidRPr="00C205F5">
        <w:rPr>
          <w:rFonts w:ascii="Arial" w:hAnsi="Arial" w:cs="Arial"/>
        </w:rPr>
        <w:t xml:space="preserve"> díla</w:t>
      </w:r>
    </w:p>
    <w:p w14:paraId="67A2EB23" w14:textId="70239380" w:rsidR="008F08CD" w:rsidRPr="00650BC0" w:rsidRDefault="008F08CD" w:rsidP="008F08CD">
      <w:pPr>
        <w:rPr>
          <w:rFonts w:ascii="Arial" w:hAnsi="Arial" w:cs="Arial"/>
          <w:sz w:val="22"/>
          <w:szCs w:val="22"/>
        </w:rPr>
      </w:pPr>
    </w:p>
    <w:p w14:paraId="367B8AA9" w14:textId="34718B3C" w:rsidR="008F08CD" w:rsidRPr="00650BC0" w:rsidRDefault="008F08CD" w:rsidP="00C205F5">
      <w:pPr>
        <w:pStyle w:val="Odstavecseseznamem"/>
        <w:numPr>
          <w:ilvl w:val="0"/>
          <w:numId w:val="15"/>
        </w:numPr>
        <w:spacing w:after="120" w:line="259" w:lineRule="auto"/>
        <w:ind w:left="573" w:hanging="567"/>
        <w:jc w:val="both"/>
        <w:rPr>
          <w:rFonts w:ascii="Arial" w:hAnsi="Arial" w:cs="Arial"/>
        </w:rPr>
      </w:pPr>
      <w:r w:rsidRPr="00650BC0">
        <w:rPr>
          <w:rFonts w:ascii="Arial" w:hAnsi="Arial" w:cs="Arial"/>
        </w:rPr>
        <w:t xml:space="preserve">Zhotovitel se zavazuje dokončit a předat </w:t>
      </w:r>
      <w:r w:rsidRPr="00A55902">
        <w:rPr>
          <w:rFonts w:ascii="Arial" w:hAnsi="Arial" w:cs="Arial"/>
        </w:rPr>
        <w:t xml:space="preserve">dílo v termínu </w:t>
      </w:r>
      <w:r w:rsidRPr="00A55902">
        <w:rPr>
          <w:rFonts w:ascii="Arial" w:hAnsi="Arial" w:cs="Arial"/>
          <w:b/>
          <w:bCs/>
        </w:rPr>
        <w:t xml:space="preserve">do </w:t>
      </w:r>
      <w:r w:rsidR="00423859" w:rsidRPr="00A55902">
        <w:rPr>
          <w:rFonts w:ascii="Arial" w:hAnsi="Arial" w:cs="Arial"/>
          <w:b/>
          <w:bCs/>
        </w:rPr>
        <w:t>31.07.2022</w:t>
      </w:r>
      <w:r w:rsidR="00423859" w:rsidRPr="00A55902">
        <w:rPr>
          <w:rFonts w:ascii="Arial" w:hAnsi="Arial" w:cs="Arial"/>
        </w:rPr>
        <w:t>.</w:t>
      </w:r>
      <w:r w:rsidRPr="00650BC0">
        <w:rPr>
          <w:rFonts w:ascii="Arial" w:hAnsi="Arial" w:cs="Arial"/>
        </w:rPr>
        <w:t xml:space="preserve"> </w:t>
      </w:r>
    </w:p>
    <w:p w14:paraId="3C833CE0" w14:textId="4BC3A7D4"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650BC0">
        <w:rPr>
          <w:rFonts w:ascii="Arial" w:hAnsi="Arial" w:cs="Arial"/>
          <w:sz w:val="22"/>
          <w:szCs w:val="22"/>
        </w:rPr>
        <w:t xml:space="preserve">Dílo bude předáno </w:t>
      </w:r>
      <w:r w:rsidRPr="00856A79">
        <w:rPr>
          <w:rFonts w:ascii="Arial" w:hAnsi="Arial" w:cs="Arial"/>
          <w:sz w:val="22"/>
          <w:szCs w:val="22"/>
        </w:rPr>
        <w:t>Objednatel</w:t>
      </w:r>
      <w:r w:rsidR="007F16C8" w:rsidRPr="00856A79">
        <w:rPr>
          <w:rFonts w:ascii="Arial" w:hAnsi="Arial" w:cs="Arial"/>
          <w:sz w:val="22"/>
          <w:szCs w:val="22"/>
        </w:rPr>
        <w:t>i</w:t>
      </w:r>
      <w:r w:rsidRPr="00856A79">
        <w:rPr>
          <w:rFonts w:ascii="Arial" w:hAnsi="Arial" w:cs="Arial"/>
          <w:sz w:val="22"/>
          <w:szCs w:val="22"/>
        </w:rPr>
        <w:t xml:space="preserve"> I</w:t>
      </w:r>
      <w:r w:rsidR="007F16C8" w:rsidRPr="00856A79">
        <w:rPr>
          <w:rFonts w:ascii="Arial" w:hAnsi="Arial" w:cs="Arial"/>
          <w:sz w:val="22"/>
          <w:szCs w:val="22"/>
        </w:rPr>
        <w:t xml:space="preserve"> na adrese </w:t>
      </w:r>
      <w:r w:rsidR="007F16C8" w:rsidRPr="00A55902">
        <w:rPr>
          <w:rFonts w:ascii="Arial" w:hAnsi="Arial" w:cs="Arial"/>
          <w:sz w:val="22"/>
          <w:szCs w:val="22"/>
        </w:rPr>
        <w:t>pro doručování:</w:t>
      </w:r>
      <w:r w:rsidRPr="00A55902">
        <w:rPr>
          <w:rFonts w:ascii="Arial" w:hAnsi="Arial" w:cs="Arial"/>
          <w:sz w:val="22"/>
          <w:szCs w:val="22"/>
        </w:rPr>
        <w:t xml:space="preserve"> </w:t>
      </w:r>
      <w:r w:rsidRPr="00A55902">
        <w:rPr>
          <w:rFonts w:ascii="Arial" w:hAnsi="Arial" w:cs="Arial"/>
          <w:snapToGrid w:val="0"/>
          <w:sz w:val="22"/>
          <w:szCs w:val="22"/>
        </w:rPr>
        <w:t xml:space="preserve">Státní pozemkový úřad, </w:t>
      </w:r>
      <w:r w:rsidR="00B50259" w:rsidRPr="00A55902">
        <w:rPr>
          <w:rFonts w:ascii="Arial" w:hAnsi="Arial" w:cs="Arial"/>
          <w:snapToGrid w:val="0"/>
          <w:sz w:val="22"/>
          <w:szCs w:val="22"/>
        </w:rPr>
        <w:t xml:space="preserve">Krajský pozemkový úřad pro Královéhradecký kraj, </w:t>
      </w:r>
      <w:r w:rsidRPr="00A55902">
        <w:rPr>
          <w:rFonts w:ascii="Arial" w:hAnsi="Arial" w:cs="Arial"/>
          <w:snapToGrid w:val="0"/>
          <w:sz w:val="22"/>
          <w:szCs w:val="22"/>
        </w:rPr>
        <w:t xml:space="preserve">Pobočka </w:t>
      </w:r>
      <w:r w:rsidR="00A55902" w:rsidRPr="00A55902">
        <w:rPr>
          <w:rFonts w:ascii="Arial" w:hAnsi="Arial" w:cs="Arial"/>
          <w:snapToGrid w:val="0"/>
          <w:sz w:val="22"/>
          <w:szCs w:val="22"/>
        </w:rPr>
        <w:t>Trutnov</w:t>
      </w:r>
      <w:r w:rsidRPr="00A55902">
        <w:rPr>
          <w:rFonts w:ascii="Arial" w:hAnsi="Arial" w:cs="Arial"/>
          <w:snapToGrid w:val="0"/>
          <w:sz w:val="22"/>
          <w:szCs w:val="22"/>
        </w:rPr>
        <w:t>, H</w:t>
      </w:r>
      <w:r w:rsidR="00A55902" w:rsidRPr="00A55902">
        <w:rPr>
          <w:rFonts w:ascii="Arial" w:hAnsi="Arial" w:cs="Arial"/>
          <w:snapToGrid w:val="0"/>
          <w:sz w:val="22"/>
          <w:szCs w:val="22"/>
        </w:rPr>
        <w:t>orská 5</w:t>
      </w:r>
      <w:r w:rsidRPr="00A55902">
        <w:rPr>
          <w:rFonts w:ascii="Arial" w:hAnsi="Arial" w:cs="Arial"/>
          <w:snapToGrid w:val="0"/>
          <w:sz w:val="22"/>
          <w:szCs w:val="22"/>
        </w:rPr>
        <w:t>, 5</w:t>
      </w:r>
      <w:r w:rsidR="00A55902" w:rsidRPr="00A55902">
        <w:rPr>
          <w:rFonts w:ascii="Arial" w:hAnsi="Arial" w:cs="Arial"/>
          <w:snapToGrid w:val="0"/>
          <w:sz w:val="22"/>
          <w:szCs w:val="22"/>
        </w:rPr>
        <w:t>41</w:t>
      </w:r>
      <w:r w:rsidR="00B50259" w:rsidRPr="00A55902">
        <w:rPr>
          <w:rFonts w:ascii="Arial" w:hAnsi="Arial" w:cs="Arial"/>
          <w:snapToGrid w:val="0"/>
          <w:sz w:val="22"/>
          <w:szCs w:val="22"/>
        </w:rPr>
        <w:t> </w:t>
      </w:r>
      <w:r w:rsidRPr="00A55902">
        <w:rPr>
          <w:rFonts w:ascii="Arial" w:hAnsi="Arial" w:cs="Arial"/>
          <w:snapToGrid w:val="0"/>
          <w:sz w:val="22"/>
          <w:szCs w:val="22"/>
        </w:rPr>
        <w:t>0</w:t>
      </w:r>
      <w:r w:rsidR="00A55902" w:rsidRPr="00A55902">
        <w:rPr>
          <w:rFonts w:ascii="Arial" w:hAnsi="Arial" w:cs="Arial"/>
          <w:snapToGrid w:val="0"/>
          <w:sz w:val="22"/>
          <w:szCs w:val="22"/>
        </w:rPr>
        <w:t>1</w:t>
      </w:r>
      <w:r w:rsidR="00B50259" w:rsidRPr="00A55902">
        <w:rPr>
          <w:rFonts w:ascii="Arial" w:hAnsi="Arial" w:cs="Arial"/>
          <w:snapToGrid w:val="0"/>
          <w:sz w:val="22"/>
          <w:szCs w:val="22"/>
        </w:rPr>
        <w:t> </w:t>
      </w:r>
      <w:r w:rsidR="00A55902" w:rsidRPr="00A55902">
        <w:rPr>
          <w:rFonts w:ascii="Arial" w:hAnsi="Arial" w:cs="Arial"/>
          <w:snapToGrid w:val="0"/>
          <w:sz w:val="22"/>
          <w:szCs w:val="22"/>
        </w:rPr>
        <w:t>Trutnov</w:t>
      </w:r>
      <w:r w:rsidRPr="00A55902">
        <w:rPr>
          <w:rFonts w:ascii="Arial" w:hAnsi="Arial" w:cs="Arial"/>
          <w:snapToGrid w:val="0"/>
          <w:sz w:val="22"/>
          <w:szCs w:val="22"/>
        </w:rPr>
        <w:t xml:space="preserve">. </w:t>
      </w:r>
      <w:r w:rsidRPr="00A55902">
        <w:rPr>
          <w:rFonts w:ascii="Arial" w:hAnsi="Arial" w:cs="Arial"/>
          <w:sz w:val="22"/>
          <w:szCs w:val="22"/>
        </w:rPr>
        <w:t>O</w:t>
      </w:r>
      <w:r w:rsidR="00A55902" w:rsidRPr="00A55902">
        <w:rPr>
          <w:rFonts w:ascii="Arial" w:hAnsi="Arial" w:cs="Arial"/>
          <w:sz w:val="22"/>
          <w:szCs w:val="22"/>
        </w:rPr>
        <w:t> </w:t>
      </w:r>
      <w:r w:rsidRPr="00A55902">
        <w:rPr>
          <w:rFonts w:ascii="Arial" w:hAnsi="Arial" w:cs="Arial"/>
          <w:sz w:val="22"/>
          <w:szCs w:val="22"/>
        </w:rPr>
        <w:t>předání a převzetí díla bez zjevných vad a nedodělků bude vyhotoven</w:t>
      </w:r>
      <w:r w:rsidRPr="00856A79">
        <w:rPr>
          <w:rFonts w:ascii="Arial" w:hAnsi="Arial" w:cs="Arial"/>
          <w:sz w:val="22"/>
          <w:szCs w:val="22"/>
        </w:rPr>
        <w:t xml:space="preserve"> protokol o předání</w:t>
      </w:r>
      <w:r w:rsidRPr="00650BC0">
        <w:rPr>
          <w:rFonts w:ascii="Arial" w:hAnsi="Arial" w:cs="Arial"/>
          <w:sz w:val="22"/>
          <w:szCs w:val="22"/>
        </w:rPr>
        <w:t xml:space="preserve"> a převzetí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A55902"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Pr>
          <w:rFonts w:ascii="Arial" w:hAnsi="Arial" w:cs="Arial"/>
          <w:snapToGrid w:val="0"/>
        </w:rPr>
        <w:t xml:space="preserve">IČ: </w:t>
      </w:r>
      <w:r w:rsidRPr="00A55902">
        <w:rPr>
          <w:rFonts w:ascii="Arial" w:hAnsi="Arial" w:cs="Arial"/>
          <w:snapToGrid w:val="0"/>
        </w:rPr>
        <w:t>01312774</w:t>
      </w:r>
    </w:p>
    <w:p w14:paraId="0BE5A9B6" w14:textId="72A453B9" w:rsidR="007F16C8" w:rsidRPr="00856A79" w:rsidRDefault="007F16C8" w:rsidP="00015AFA">
      <w:pPr>
        <w:pStyle w:val="Odstavecseseznamem"/>
        <w:spacing w:after="120"/>
        <w:ind w:left="567"/>
        <w:contextualSpacing w:val="0"/>
        <w:jc w:val="both"/>
        <w:rPr>
          <w:rFonts w:ascii="Arial" w:hAnsi="Arial" w:cs="Arial"/>
          <w:snapToGrid w:val="0"/>
        </w:rPr>
      </w:pPr>
      <w:r w:rsidRPr="00A55902">
        <w:rPr>
          <w:rFonts w:ascii="Arial" w:hAnsi="Arial" w:cs="Arial"/>
          <w:snapToGrid w:val="0"/>
        </w:rPr>
        <w:t xml:space="preserve">adresa pro doručení faktury: Státní pozemkový úřad, Krajský pozemkový úřad pro Královéhradecký kraj, Pobočka </w:t>
      </w:r>
      <w:r w:rsidR="00A55902" w:rsidRPr="00A55902">
        <w:rPr>
          <w:rFonts w:ascii="Arial" w:hAnsi="Arial" w:cs="Arial"/>
          <w:snapToGrid w:val="0"/>
        </w:rPr>
        <w:t>Trutnov</w:t>
      </w:r>
      <w:r w:rsidRPr="00A55902">
        <w:rPr>
          <w:rFonts w:ascii="Arial" w:hAnsi="Arial" w:cs="Arial"/>
          <w:snapToGrid w:val="0"/>
        </w:rPr>
        <w:t>, H</w:t>
      </w:r>
      <w:r w:rsidR="00A55902" w:rsidRPr="00A55902">
        <w:rPr>
          <w:rFonts w:ascii="Arial" w:hAnsi="Arial" w:cs="Arial"/>
          <w:snapToGrid w:val="0"/>
        </w:rPr>
        <w:t>orská 5</w:t>
      </w:r>
      <w:r w:rsidRPr="00A55902">
        <w:rPr>
          <w:rFonts w:ascii="Arial" w:hAnsi="Arial" w:cs="Arial"/>
          <w:snapToGrid w:val="0"/>
        </w:rPr>
        <w:t>, 5</w:t>
      </w:r>
      <w:r w:rsidR="00A55902" w:rsidRPr="00A55902">
        <w:rPr>
          <w:rFonts w:ascii="Arial" w:hAnsi="Arial" w:cs="Arial"/>
          <w:snapToGrid w:val="0"/>
        </w:rPr>
        <w:t>41</w:t>
      </w:r>
      <w:r w:rsidRPr="00A55902">
        <w:rPr>
          <w:rFonts w:ascii="Arial" w:hAnsi="Arial" w:cs="Arial"/>
          <w:snapToGrid w:val="0"/>
        </w:rPr>
        <w:t xml:space="preserve"> 0</w:t>
      </w:r>
      <w:r w:rsidR="00A55902" w:rsidRPr="00A55902">
        <w:rPr>
          <w:rFonts w:ascii="Arial" w:hAnsi="Arial" w:cs="Arial"/>
          <w:snapToGrid w:val="0"/>
        </w:rPr>
        <w:t>1</w:t>
      </w:r>
      <w:r w:rsidRPr="00A55902">
        <w:rPr>
          <w:rFonts w:ascii="Arial" w:hAnsi="Arial" w:cs="Arial"/>
          <w:snapToGrid w:val="0"/>
        </w:rPr>
        <w:t xml:space="preserve"> </w:t>
      </w:r>
      <w:r w:rsidR="00A55902" w:rsidRPr="00A55902">
        <w:rPr>
          <w:rFonts w:ascii="Arial" w:hAnsi="Arial" w:cs="Arial"/>
          <w:snapToGrid w:val="0"/>
        </w:rPr>
        <w:t>Trutnov</w:t>
      </w:r>
      <w:r w:rsidRPr="00856A79">
        <w:rPr>
          <w:rFonts w:ascii="Arial" w:hAnsi="Arial" w:cs="Arial"/>
          <w:snapToGrid w:val="0"/>
        </w:rPr>
        <w:t xml:space="preserve"> </w:t>
      </w:r>
    </w:p>
    <w:p w14:paraId="6DD23DE5" w14:textId="77777777" w:rsidR="00423859" w:rsidRDefault="007F16C8" w:rsidP="00015AFA">
      <w:pPr>
        <w:pStyle w:val="Odstavecseseznamem"/>
        <w:spacing w:after="120"/>
        <w:ind w:left="567"/>
        <w:jc w:val="both"/>
        <w:rPr>
          <w:rFonts w:ascii="Arial" w:hAnsi="Arial" w:cs="Arial"/>
          <w:snapToGrid w:val="0"/>
        </w:rPr>
      </w:pPr>
      <w:r w:rsidRPr="00423859">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nárok na úrok z prodlení ve výši pěti setin procenta (0,05 %) z dlužné částky 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y je plnění, které je považované ve smyslu zákona č. 121/2000 Sb., o právu autorském, o právech souvisejících s právem autorským 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6"/>
      <w:footerReference w:type="default" r:id="rId17"/>
      <w:headerReference w:type="first" r:id="rId18"/>
      <w:footerReference w:type="first" r:id="rId19"/>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423859" w:rsidRDefault="00423859">
      <w:pPr>
        <w:pStyle w:val="Textkomente"/>
      </w:pPr>
      <w:r>
        <w:rPr>
          <w:rStyle w:val="Odkaznakoment"/>
        </w:rPr>
        <w:annotationRef/>
      </w:r>
      <w:r>
        <w:t xml:space="preserve">Dodavatelé do teček doplní </w:t>
      </w:r>
      <w:r w:rsidR="00A8114C">
        <w:t xml:space="preserve">svoji </w:t>
      </w:r>
      <w:r>
        <w:t>nabízenou délku záruční l</w:t>
      </w:r>
      <w:r w:rsidR="00A8114C">
        <w:t>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423859" w:rsidRDefault="00423859">
      <w:r>
        <w:separator/>
      </w:r>
    </w:p>
  </w:endnote>
  <w:endnote w:type="continuationSeparator" w:id="0">
    <w:p w14:paraId="6EFBC708" w14:textId="77777777" w:rsidR="00423859" w:rsidRDefault="004238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423859" w:rsidRDefault="004238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423859" w:rsidRDefault="0042385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423859" w:rsidRDefault="0042385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423859" w:rsidRDefault="00423859"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423859" w:rsidRDefault="00423859" w:rsidP="00291282">
    <w:pPr>
      <w:pStyle w:val="Zpat"/>
      <w:pBdr>
        <w:bottom w:val="single" w:sz="6" w:space="1" w:color="auto"/>
      </w:pBdr>
      <w:jc w:val="right"/>
    </w:pPr>
  </w:p>
  <w:p w14:paraId="59E4A40A" w14:textId="77777777" w:rsidR="00423859" w:rsidRPr="0025120D" w:rsidRDefault="004949F5" w:rsidP="00291282">
    <w:pPr>
      <w:pStyle w:val="Zpat"/>
      <w:jc w:val="right"/>
      <w:rPr>
        <w:sz w:val="16"/>
      </w:rPr>
    </w:pPr>
    <w:sdt>
      <w:sdtPr>
        <w:rPr>
          <w:sz w:val="16"/>
        </w:rPr>
        <w:id w:val="573321464"/>
        <w:docPartObj>
          <w:docPartGallery w:val="Page Numbers (Bottom of Page)"/>
          <w:docPartUnique/>
        </w:docPartObj>
      </w:sdtPr>
      <w:sdtEndPr/>
      <w:sdtContent>
        <w:r w:rsidR="00423859">
          <w:rPr>
            <w:sz w:val="16"/>
          </w:rPr>
          <w:t xml:space="preserve">Strana </w:t>
        </w:r>
        <w:r w:rsidR="00423859" w:rsidRPr="0025120D">
          <w:rPr>
            <w:sz w:val="16"/>
          </w:rPr>
          <w:fldChar w:fldCharType="begin"/>
        </w:r>
        <w:r w:rsidR="00423859" w:rsidRPr="0025120D">
          <w:rPr>
            <w:sz w:val="16"/>
          </w:rPr>
          <w:instrText>PAGE   \* MERGEFORMAT</w:instrText>
        </w:r>
        <w:r w:rsidR="00423859" w:rsidRPr="0025120D">
          <w:rPr>
            <w:sz w:val="16"/>
          </w:rPr>
          <w:fldChar w:fldCharType="separate"/>
        </w:r>
        <w:r w:rsidR="00423859">
          <w:rPr>
            <w:sz w:val="16"/>
          </w:rPr>
          <w:t>1</w:t>
        </w:r>
        <w:r w:rsidR="00423859"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423859" w:rsidRDefault="00423859">
      <w:r>
        <w:separator/>
      </w:r>
    </w:p>
  </w:footnote>
  <w:footnote w:type="continuationSeparator" w:id="0">
    <w:p w14:paraId="42EC1F55" w14:textId="77777777" w:rsidR="00423859" w:rsidRDefault="004238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423859" w:rsidRDefault="00423859"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423859" w:rsidRPr="001F0B6A" w:rsidRDefault="00423859"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423859" w:rsidRPr="006B4F6D" w:rsidRDefault="00423859"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5566"/>
    <w:rsid w:val="00035D6D"/>
    <w:rsid w:val="00040CA4"/>
    <w:rsid w:val="00040D28"/>
    <w:rsid w:val="00040F5C"/>
    <w:rsid w:val="00041191"/>
    <w:rsid w:val="0004122A"/>
    <w:rsid w:val="000417B0"/>
    <w:rsid w:val="00041B2B"/>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C66"/>
    <w:rsid w:val="00102D9D"/>
    <w:rsid w:val="00103988"/>
    <w:rsid w:val="001044EB"/>
    <w:rsid w:val="00104E35"/>
    <w:rsid w:val="00105A91"/>
    <w:rsid w:val="001076B8"/>
    <w:rsid w:val="00110E3B"/>
    <w:rsid w:val="00120D6C"/>
    <w:rsid w:val="00126E27"/>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616BC"/>
    <w:rsid w:val="00162BD2"/>
    <w:rsid w:val="00165467"/>
    <w:rsid w:val="00165EEA"/>
    <w:rsid w:val="00166701"/>
    <w:rsid w:val="00171829"/>
    <w:rsid w:val="001726E9"/>
    <w:rsid w:val="0017425B"/>
    <w:rsid w:val="00175D0C"/>
    <w:rsid w:val="001846EA"/>
    <w:rsid w:val="00185D3C"/>
    <w:rsid w:val="00186623"/>
    <w:rsid w:val="001878CD"/>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57A6"/>
    <w:rsid w:val="00305DE8"/>
    <w:rsid w:val="0031024B"/>
    <w:rsid w:val="003127D4"/>
    <w:rsid w:val="003131A2"/>
    <w:rsid w:val="0032230D"/>
    <w:rsid w:val="00322A51"/>
    <w:rsid w:val="003262F6"/>
    <w:rsid w:val="00331BE6"/>
    <w:rsid w:val="00333EEA"/>
    <w:rsid w:val="00361977"/>
    <w:rsid w:val="00361A99"/>
    <w:rsid w:val="00361F54"/>
    <w:rsid w:val="003715BB"/>
    <w:rsid w:val="00373C5A"/>
    <w:rsid w:val="00374565"/>
    <w:rsid w:val="00374728"/>
    <w:rsid w:val="0037535F"/>
    <w:rsid w:val="00380871"/>
    <w:rsid w:val="00385236"/>
    <w:rsid w:val="00387D13"/>
    <w:rsid w:val="00390858"/>
    <w:rsid w:val="00394F6A"/>
    <w:rsid w:val="00397B5F"/>
    <w:rsid w:val="003A3537"/>
    <w:rsid w:val="003A70E9"/>
    <w:rsid w:val="003B0965"/>
    <w:rsid w:val="003B1380"/>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49F5"/>
    <w:rsid w:val="00497DB0"/>
    <w:rsid w:val="004A4F44"/>
    <w:rsid w:val="004A75C7"/>
    <w:rsid w:val="004A7AFF"/>
    <w:rsid w:val="004C0F56"/>
    <w:rsid w:val="004C193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47A17"/>
    <w:rsid w:val="00650BC0"/>
    <w:rsid w:val="0065229B"/>
    <w:rsid w:val="00656423"/>
    <w:rsid w:val="00660E19"/>
    <w:rsid w:val="00663366"/>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6133"/>
    <w:rsid w:val="008B62DC"/>
    <w:rsid w:val="008B6EAF"/>
    <w:rsid w:val="008C1BF5"/>
    <w:rsid w:val="008C2799"/>
    <w:rsid w:val="008C304B"/>
    <w:rsid w:val="008C5D91"/>
    <w:rsid w:val="008D38E5"/>
    <w:rsid w:val="008D4609"/>
    <w:rsid w:val="008D5930"/>
    <w:rsid w:val="008D5CFD"/>
    <w:rsid w:val="008E0648"/>
    <w:rsid w:val="008E7BD2"/>
    <w:rsid w:val="008F03D9"/>
    <w:rsid w:val="008F08CD"/>
    <w:rsid w:val="008F1683"/>
    <w:rsid w:val="008F19EB"/>
    <w:rsid w:val="008F368E"/>
    <w:rsid w:val="008F6B51"/>
    <w:rsid w:val="00902CDF"/>
    <w:rsid w:val="00903F93"/>
    <w:rsid w:val="0090772A"/>
    <w:rsid w:val="009106DD"/>
    <w:rsid w:val="0091205E"/>
    <w:rsid w:val="0091294E"/>
    <w:rsid w:val="00912E66"/>
    <w:rsid w:val="00925DE5"/>
    <w:rsid w:val="0093165A"/>
    <w:rsid w:val="00931D9F"/>
    <w:rsid w:val="00935A83"/>
    <w:rsid w:val="00936774"/>
    <w:rsid w:val="00936FF5"/>
    <w:rsid w:val="009377AF"/>
    <w:rsid w:val="009401EB"/>
    <w:rsid w:val="009458AF"/>
    <w:rsid w:val="00946302"/>
    <w:rsid w:val="00950C71"/>
    <w:rsid w:val="0095460D"/>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0B2A"/>
    <w:rsid w:val="00A4109F"/>
    <w:rsid w:val="00A412DE"/>
    <w:rsid w:val="00A44924"/>
    <w:rsid w:val="00A44FB1"/>
    <w:rsid w:val="00A45065"/>
    <w:rsid w:val="00A5293F"/>
    <w:rsid w:val="00A54044"/>
    <w:rsid w:val="00A55902"/>
    <w:rsid w:val="00A57202"/>
    <w:rsid w:val="00A67934"/>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3E64"/>
    <w:rsid w:val="00C37021"/>
    <w:rsid w:val="00C4030E"/>
    <w:rsid w:val="00C42569"/>
    <w:rsid w:val="00C43D25"/>
    <w:rsid w:val="00C47AA5"/>
    <w:rsid w:val="00C5421B"/>
    <w:rsid w:val="00C66EC5"/>
    <w:rsid w:val="00C673D5"/>
    <w:rsid w:val="00C67F17"/>
    <w:rsid w:val="00C749F4"/>
    <w:rsid w:val="00C81630"/>
    <w:rsid w:val="00C86B48"/>
    <w:rsid w:val="00C86E68"/>
    <w:rsid w:val="00C92C57"/>
    <w:rsid w:val="00C94C4E"/>
    <w:rsid w:val="00CA2793"/>
    <w:rsid w:val="00CA3986"/>
    <w:rsid w:val="00CA5038"/>
    <w:rsid w:val="00CA6BE2"/>
    <w:rsid w:val="00CB56F5"/>
    <w:rsid w:val="00CB703F"/>
    <w:rsid w:val="00CC2DE0"/>
    <w:rsid w:val="00CC3F53"/>
    <w:rsid w:val="00CC447D"/>
    <w:rsid w:val="00CC4AE2"/>
    <w:rsid w:val="00CC6DFA"/>
    <w:rsid w:val="00CC73F0"/>
    <w:rsid w:val="00CD2380"/>
    <w:rsid w:val="00CD5FFD"/>
    <w:rsid w:val="00CE28D7"/>
    <w:rsid w:val="00CE3ACA"/>
    <w:rsid w:val="00CE6A33"/>
    <w:rsid w:val="00CF4E74"/>
    <w:rsid w:val="00CF5C9A"/>
    <w:rsid w:val="00CF7ABE"/>
    <w:rsid w:val="00D04DF6"/>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A6833"/>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utnov.pk@spucr.cz"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l.doubek@rsd.cz"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ek.novotny@rsd.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plechac@spucr.cz"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7366</Words>
  <Characters>43460</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7</cp:revision>
  <cp:lastPrinted>2021-05-26T10:30:00Z</cp:lastPrinted>
  <dcterms:created xsi:type="dcterms:W3CDTF">2021-05-19T10:30:00Z</dcterms:created>
  <dcterms:modified xsi:type="dcterms:W3CDTF">2021-05-26T10:30:00Z</dcterms:modified>
</cp:coreProperties>
</file>