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19AB5D9A" w:rsidR="009F3720" w:rsidRPr="00753642" w:rsidRDefault="00753642" w:rsidP="00AE2DC5">
      <w:pPr>
        <w:jc w:val="center"/>
        <w:rPr>
          <w:rFonts w:cs="Arial"/>
          <w:bCs/>
          <w:szCs w:val="22"/>
        </w:rPr>
      </w:pPr>
      <w:r w:rsidRPr="00753642">
        <w:rPr>
          <w:rFonts w:cs="Arial"/>
          <w:bCs/>
          <w:szCs w:val="22"/>
        </w:rPr>
        <w:t xml:space="preserve"> </w:t>
      </w:r>
      <w:r w:rsidR="009F3720" w:rsidRPr="00753642">
        <w:rPr>
          <w:rFonts w:cs="Arial"/>
          <w:bCs/>
          <w:szCs w:val="22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FD8D1B0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3BF13F5B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FA2EEC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3118479F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Zlínský kraj</w:t>
      </w:r>
    </w:p>
    <w:p w14:paraId="0B807622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proofErr w:type="spellStart"/>
      <w:r>
        <w:rPr>
          <w:rFonts w:cs="Arial"/>
          <w:b/>
          <w:szCs w:val="22"/>
        </w:rPr>
        <w:t>Zarámí</w:t>
      </w:r>
      <w:proofErr w:type="spellEnd"/>
      <w:r>
        <w:rPr>
          <w:rFonts w:cs="Arial"/>
          <w:b/>
          <w:szCs w:val="22"/>
        </w:rPr>
        <w:t xml:space="preserve"> 88, 760 41 Zlín</w:t>
      </w:r>
    </w:p>
    <w:p w14:paraId="5A40A1E2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7C8F4965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1FFF8FEB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2A40F753" w14:textId="01742364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Radka Zábojníková Ph.D., vedoucí Pobočky Kroměříž</w:t>
      </w:r>
      <w:r w:rsidRPr="004D5F78">
        <w:rPr>
          <w:rFonts w:eastAsia="Lucida Sans Unicode" w:cs="Arial"/>
          <w:szCs w:val="22"/>
        </w:rPr>
        <w:t xml:space="preserve"> </w:t>
      </w:r>
    </w:p>
    <w:p w14:paraId="195CF389" w14:textId="65CE8002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Ing. Milan Vrtěl, odborný rada Pobočky Kroměříž</w:t>
      </w:r>
    </w:p>
    <w:p w14:paraId="1DF79415" w14:textId="71A526DE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725 900 182 / +420 728 172 236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DF89DC8" w14:textId="37A54745" w:rsidR="00A07D26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Pr="001A1D69">
        <w:rPr>
          <w:rFonts w:eastAsia="Lucida Sans Unicode" w:cs="Arial"/>
          <w:szCs w:val="22"/>
        </w:rPr>
        <w:t>r</w:t>
      </w:r>
      <w:r>
        <w:rPr>
          <w:rFonts w:eastAsia="Lucida Sans Unicode" w:cs="Arial"/>
          <w:szCs w:val="22"/>
        </w:rPr>
        <w:t>.zabojnikova</w:t>
      </w:r>
      <w:r w:rsidRPr="00E37141">
        <w:rPr>
          <w:rFonts w:eastAsia="Lucida Sans Unicode" w:cs="Arial"/>
          <w:szCs w:val="22"/>
        </w:rPr>
        <w:t>@s</w:t>
      </w:r>
      <w:r w:rsidRPr="004D5F78">
        <w:rPr>
          <w:rFonts w:eastAsia="Lucida Sans Unicode" w:cs="Arial"/>
          <w:szCs w:val="22"/>
        </w:rPr>
        <w:t>pucr.cz</w:t>
      </w:r>
      <w:r>
        <w:rPr>
          <w:rFonts w:eastAsia="Lucida Sans Unicode" w:cs="Arial"/>
          <w:szCs w:val="22"/>
        </w:rPr>
        <w:t xml:space="preserve">   /   </w:t>
      </w:r>
      <w:proofErr w:type="gramStart"/>
      <w:r w:rsidRPr="00A07D26">
        <w:rPr>
          <w:rFonts w:eastAsia="Lucida Sans Unicode" w:cs="Arial"/>
          <w:szCs w:val="22"/>
        </w:rPr>
        <w:t>m.vrtel</w:t>
      </w:r>
      <w:proofErr w:type="gramEnd"/>
      <w:r w:rsidRPr="00A07D26">
        <w:fldChar w:fldCharType="begin"/>
      </w:r>
      <w:r w:rsidRPr="00A07D26">
        <w:instrText xml:space="preserve"> HYPERLINK "mailto:p.nedoma@spucr.cz" </w:instrText>
      </w:r>
      <w:r w:rsidRPr="00A07D26">
        <w:fldChar w:fldCharType="separate"/>
      </w:r>
      <w:r w:rsidRPr="00A07D26">
        <w:rPr>
          <w:rStyle w:val="Hypertextovodkaz"/>
          <w:rFonts w:eastAsia="Lucida Sans Unicode" w:cs="Arial"/>
          <w:color w:val="auto"/>
          <w:szCs w:val="22"/>
          <w:u w:val="none"/>
        </w:rPr>
        <w:t>@spucr.cz</w:t>
      </w:r>
      <w:r w:rsidRPr="00A07D26">
        <w:rPr>
          <w:rStyle w:val="Hypertextovodkaz"/>
          <w:rFonts w:eastAsia="Lucida Sans Unicode" w:cs="Arial"/>
          <w:color w:val="auto"/>
          <w:szCs w:val="22"/>
          <w:u w:val="none"/>
        </w:rPr>
        <w:fldChar w:fldCharType="end"/>
      </w:r>
    </w:p>
    <w:p w14:paraId="05C9C552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Osoba </w:t>
      </w:r>
      <w:proofErr w:type="spellStart"/>
      <w:r>
        <w:rPr>
          <w:rFonts w:eastAsia="Lucida Sans Unicode" w:cs="Arial"/>
          <w:szCs w:val="22"/>
        </w:rPr>
        <w:t>administrující</w:t>
      </w:r>
      <w:proofErr w:type="spellEnd"/>
      <w:r>
        <w:rPr>
          <w:rFonts w:eastAsia="Lucida Sans Unicode" w:cs="Arial"/>
          <w:szCs w:val="22"/>
        </w:rPr>
        <w:t xml:space="preserve"> veřejnou zakázku:</w:t>
      </w:r>
      <w:r>
        <w:rPr>
          <w:rFonts w:eastAsia="Lucida Sans Unicode" w:cs="Arial"/>
          <w:szCs w:val="22"/>
        </w:rPr>
        <w:tab/>
        <w:t>Lada Košutová</w:t>
      </w:r>
    </w:p>
    <w:p w14:paraId="28A38F17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25B536F4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40A0110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7ED79528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2F821146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2BDD7A14" w:rsidR="00126736" w:rsidRPr="004D5F78" w:rsidRDefault="00A07D26" w:rsidP="00A07D2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="00126736"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417489AC" w:rsidR="00CF6E49" w:rsidRPr="004D5F78" w:rsidRDefault="00AC144C" w:rsidP="000E3F19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:</w:t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  <w:t xml:space="preserve">    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0E3F19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0E3F19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0BF51363" w14:textId="0757CBD2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Telefon: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D2AF30A" w14:textId="5DEDCB7C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AFAC877" w14:textId="3ABFA4E7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F8D697F" w14:textId="513D628E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E3F19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E3F19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0E3F1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71FF29B" w:rsidR="004F64EF" w:rsidRPr="00E86086" w:rsidRDefault="000475F1" w:rsidP="00E86086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E86086" w:rsidRPr="00E86086">
        <w:rPr>
          <w:rFonts w:cs="Arial"/>
          <w:b/>
          <w:spacing w:val="8"/>
          <w:szCs w:val="22"/>
        </w:rPr>
        <w:t xml:space="preserve">Projektová dokumentace pro stavební povolení a provedení stavby </w:t>
      </w:r>
      <w:bookmarkStart w:id="0" w:name="_Hlk62195670"/>
      <w:r w:rsidR="00E86086" w:rsidRPr="00E86086">
        <w:rPr>
          <w:rFonts w:cs="Arial"/>
          <w:b/>
          <w:spacing w:val="8"/>
          <w:szCs w:val="22"/>
        </w:rPr>
        <w:t xml:space="preserve">Hlavní polní cesta HC1 a interakční prvky IP17, IP18 v k. </w:t>
      </w:r>
      <w:proofErr w:type="spellStart"/>
      <w:r w:rsidR="00E86086" w:rsidRPr="00E86086">
        <w:rPr>
          <w:rFonts w:cs="Arial"/>
          <w:b/>
          <w:spacing w:val="8"/>
          <w:szCs w:val="22"/>
        </w:rPr>
        <w:t>ú.</w:t>
      </w:r>
      <w:proofErr w:type="spellEnd"/>
      <w:r w:rsidR="00E86086" w:rsidRPr="00E86086">
        <w:rPr>
          <w:rFonts w:cs="Arial"/>
          <w:b/>
          <w:spacing w:val="8"/>
          <w:szCs w:val="22"/>
        </w:rPr>
        <w:t xml:space="preserve"> Litenčice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bookmarkEnd w:id="0"/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3123A3F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bookmarkStart w:id="1" w:name="_Hlk62198295"/>
      <w:proofErr w:type="gramEnd"/>
      <w:r w:rsidR="00E86086" w:rsidRPr="00E86086">
        <w:rPr>
          <w:rStyle w:val="l-L2Char"/>
          <w:rFonts w:cs="Arial"/>
          <w:bCs/>
          <w:szCs w:val="22"/>
          <w:u w:val="none"/>
        </w:rPr>
        <w:t xml:space="preserve">Hlavní polní cesta HC1 a interakční prvky IP17, IP18 v k. </w:t>
      </w:r>
      <w:proofErr w:type="spellStart"/>
      <w:r w:rsidR="00E86086" w:rsidRPr="00E86086">
        <w:rPr>
          <w:rStyle w:val="l-L2Char"/>
          <w:rFonts w:cs="Arial"/>
          <w:bCs/>
          <w:szCs w:val="22"/>
          <w:u w:val="none"/>
        </w:rPr>
        <w:t>ú.</w:t>
      </w:r>
      <w:proofErr w:type="spellEnd"/>
      <w:r w:rsidR="00E86086" w:rsidRPr="00E86086">
        <w:rPr>
          <w:rStyle w:val="l-L2Char"/>
          <w:rFonts w:cs="Arial"/>
          <w:bCs/>
          <w:szCs w:val="22"/>
          <w:u w:val="none"/>
        </w:rPr>
        <w:t xml:space="preserve"> Litenčice</w:t>
      </w:r>
      <w:bookmarkEnd w:id="1"/>
    </w:p>
    <w:p w14:paraId="20E141FE" w14:textId="7C6040DA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>Litenčice</w:t>
      </w:r>
      <w:proofErr w:type="spellEnd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>Kroměříž</w:t>
      </w:r>
      <w:proofErr w:type="spellEnd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>Zlínský</w:t>
      </w:r>
      <w:proofErr w:type="spellEnd"/>
      <w:r w:rsidR="00E8608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kraj</w:t>
      </w:r>
    </w:p>
    <w:p w14:paraId="5FABE53E" w14:textId="77777777" w:rsidR="0093478D" w:rsidRDefault="00035F68" w:rsidP="0093478D">
      <w:pPr>
        <w:spacing w:after="0"/>
        <w:ind w:firstLine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Popis stavby:     </w:t>
      </w:r>
    </w:p>
    <w:p w14:paraId="39DAC9FB" w14:textId="6D11D1D6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>Předmět díla bude rozdělen na stavební objekty:</w:t>
      </w:r>
    </w:p>
    <w:p w14:paraId="19836805" w14:textId="77777777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01 – </w:t>
      </w:r>
      <w:r>
        <w:rPr>
          <w:rFonts w:eastAsia="MS Mincho" w:cs="Arial"/>
          <w:szCs w:val="20"/>
          <w:lang w:eastAsia="en-US"/>
        </w:rPr>
        <w:t>Polní cesta HC1</w:t>
      </w:r>
    </w:p>
    <w:p w14:paraId="613A4661" w14:textId="77777777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02 – </w:t>
      </w:r>
      <w:r>
        <w:rPr>
          <w:rFonts w:eastAsia="MS Mincho" w:cs="Arial"/>
          <w:szCs w:val="20"/>
          <w:lang w:eastAsia="en-US"/>
        </w:rPr>
        <w:t>Interakční prvek IP17</w:t>
      </w:r>
    </w:p>
    <w:p w14:paraId="13AAEAC8" w14:textId="77777777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03 – </w:t>
      </w:r>
      <w:r>
        <w:rPr>
          <w:rFonts w:eastAsia="MS Mincho" w:cs="Arial"/>
          <w:szCs w:val="20"/>
          <w:lang w:eastAsia="en-US"/>
        </w:rPr>
        <w:t>Interakční prvek IP18</w:t>
      </w:r>
    </w:p>
    <w:p w14:paraId="1EFDB195" w14:textId="77777777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</w:p>
    <w:p w14:paraId="5A96668A" w14:textId="77777777" w:rsidR="0093478D" w:rsidRPr="00006867" w:rsidRDefault="0093478D" w:rsidP="0093478D">
      <w:pPr>
        <w:autoSpaceDE w:val="0"/>
        <w:autoSpaceDN w:val="0"/>
        <w:adjustRightInd w:val="0"/>
        <w:spacing w:after="0"/>
        <w:ind w:firstLine="709"/>
        <w:rPr>
          <w:rFonts w:eastAsia="MS Mincho" w:cs="Arial"/>
          <w:b/>
          <w:bCs/>
          <w:lang w:eastAsia="en-US"/>
        </w:rPr>
      </w:pPr>
      <w:bookmarkStart w:id="2" w:name="_Hlk15891937"/>
      <w:bookmarkStart w:id="3" w:name="_Hlk15891969"/>
      <w:bookmarkStart w:id="4" w:name="_Hlk15891898"/>
      <w:r w:rsidRPr="00006867">
        <w:rPr>
          <w:rFonts w:eastAsia="MS Mincho" w:cs="Arial"/>
          <w:b/>
          <w:bCs/>
          <w:lang w:eastAsia="en-US"/>
        </w:rPr>
        <w:t xml:space="preserve">SO 01 – </w:t>
      </w:r>
      <w:r>
        <w:rPr>
          <w:rFonts w:eastAsia="MS Mincho" w:cs="Arial"/>
          <w:b/>
          <w:bCs/>
          <w:lang w:eastAsia="en-US"/>
        </w:rPr>
        <w:t>Polní cesta HC1</w:t>
      </w:r>
    </w:p>
    <w:p w14:paraId="56E89B97" w14:textId="77777777" w:rsidR="0093478D" w:rsidRPr="00006867" w:rsidRDefault="0093478D" w:rsidP="0093478D">
      <w:pPr>
        <w:autoSpaceDE w:val="0"/>
        <w:autoSpaceDN w:val="0"/>
        <w:adjustRightInd w:val="0"/>
        <w:spacing w:after="0"/>
        <w:ind w:left="709"/>
        <w:rPr>
          <w:rFonts w:eastAsia="MS Mincho" w:cs="Arial"/>
          <w:bCs/>
          <w:lang w:eastAsia="en-US"/>
        </w:rPr>
      </w:pPr>
      <w:r w:rsidRPr="00006867">
        <w:rPr>
          <w:rFonts w:eastAsia="MS Mincho" w:cs="Arial"/>
          <w:bCs/>
          <w:lang w:eastAsia="en-US"/>
        </w:rPr>
        <w:t xml:space="preserve">Hlavní polní cesta délky </w:t>
      </w:r>
      <w:r>
        <w:rPr>
          <w:rFonts w:eastAsia="MS Mincho" w:cs="Arial"/>
          <w:bCs/>
          <w:lang w:eastAsia="en-US"/>
        </w:rPr>
        <w:t xml:space="preserve">1860 </w:t>
      </w:r>
      <w:r w:rsidRPr="00006867">
        <w:rPr>
          <w:rFonts w:eastAsia="MS Mincho" w:cs="Arial"/>
          <w:bCs/>
          <w:lang w:eastAsia="en-US"/>
        </w:rPr>
        <w:t>m s asfaltovým povrchem, kategorie P4,5/</w:t>
      </w:r>
      <w:r>
        <w:rPr>
          <w:rFonts w:eastAsia="MS Mincho" w:cs="Arial"/>
          <w:bCs/>
          <w:lang w:eastAsia="en-US"/>
        </w:rPr>
        <w:t>2</w:t>
      </w:r>
      <w:r w:rsidRPr="00006867">
        <w:rPr>
          <w:rFonts w:eastAsia="MS Mincho" w:cs="Arial"/>
          <w:bCs/>
          <w:lang w:eastAsia="en-US"/>
        </w:rPr>
        <w:t>0, cesta jednopruhová</w:t>
      </w:r>
      <w:r>
        <w:rPr>
          <w:rFonts w:eastAsia="MS Mincho" w:cs="Arial"/>
          <w:bCs/>
          <w:lang w:eastAsia="en-US"/>
        </w:rPr>
        <w:t xml:space="preserve">. </w:t>
      </w:r>
      <w:r w:rsidRPr="003B4489">
        <w:rPr>
          <w:rFonts w:eastAsia="MS Mincho" w:cs="Arial"/>
          <w:bCs/>
          <w:lang w:eastAsia="en-US"/>
        </w:rPr>
        <w:t xml:space="preserve">Hlavní polní cesta je situována v jihozápadní části </w:t>
      </w:r>
      <w:proofErr w:type="spellStart"/>
      <w:r w:rsidRPr="003B4489">
        <w:rPr>
          <w:rFonts w:eastAsia="MS Mincho" w:cs="Arial"/>
          <w:bCs/>
          <w:lang w:eastAsia="en-US"/>
        </w:rPr>
        <w:t>k.ú</w:t>
      </w:r>
      <w:proofErr w:type="spellEnd"/>
      <w:r w:rsidRPr="003B4489">
        <w:rPr>
          <w:rFonts w:eastAsia="MS Mincho" w:cs="Arial"/>
          <w:bCs/>
          <w:lang w:eastAsia="en-US"/>
        </w:rPr>
        <w:t xml:space="preserve">. Litenčice. Zpřístupňuje zemědělské hony a napojuje sít vedlejších a doplňkových polních cest. </w:t>
      </w:r>
      <w:r>
        <w:rPr>
          <w:rFonts w:eastAsia="MS Mincho" w:cs="Arial"/>
          <w:bCs/>
          <w:lang w:eastAsia="en-US"/>
        </w:rPr>
        <w:t>Bude navržena</w:t>
      </w:r>
      <w:r w:rsidRPr="003B4489">
        <w:rPr>
          <w:rFonts w:eastAsia="MS Mincho" w:cs="Arial"/>
          <w:bCs/>
          <w:lang w:eastAsia="en-US"/>
        </w:rPr>
        <w:t xml:space="preserve"> kompletní rekonstrukc</w:t>
      </w:r>
      <w:r>
        <w:rPr>
          <w:rFonts w:eastAsia="MS Mincho" w:cs="Arial"/>
          <w:bCs/>
          <w:lang w:eastAsia="en-US"/>
        </w:rPr>
        <w:t>e</w:t>
      </w:r>
      <w:r w:rsidRPr="003B4489">
        <w:rPr>
          <w:rFonts w:eastAsia="MS Mincho" w:cs="Arial"/>
          <w:bCs/>
          <w:lang w:eastAsia="en-US"/>
        </w:rPr>
        <w:t xml:space="preserve"> polní cesty včetně podkladníc</w:t>
      </w:r>
      <w:r>
        <w:rPr>
          <w:rFonts w:eastAsia="MS Mincho" w:cs="Arial"/>
          <w:bCs/>
          <w:lang w:eastAsia="en-US"/>
        </w:rPr>
        <w:t>h</w:t>
      </w:r>
      <w:r w:rsidRPr="003B4489">
        <w:rPr>
          <w:rFonts w:eastAsia="MS Mincho" w:cs="Arial"/>
          <w:bCs/>
          <w:lang w:eastAsia="en-US"/>
        </w:rPr>
        <w:t xml:space="preserve"> a </w:t>
      </w:r>
      <w:r>
        <w:rPr>
          <w:rFonts w:eastAsia="MS Mincho" w:cs="Arial"/>
          <w:bCs/>
          <w:lang w:eastAsia="en-US"/>
        </w:rPr>
        <w:t>obrusných</w:t>
      </w:r>
      <w:r w:rsidRPr="003B4489">
        <w:rPr>
          <w:rFonts w:eastAsia="MS Mincho" w:cs="Arial"/>
          <w:bCs/>
          <w:lang w:eastAsia="en-US"/>
        </w:rPr>
        <w:t xml:space="preserve"> konstrukčních vrstev.</w:t>
      </w:r>
      <w:r>
        <w:rPr>
          <w:rFonts w:eastAsia="MS Mincho" w:cs="Arial"/>
          <w:bCs/>
          <w:lang w:eastAsia="en-US"/>
        </w:rPr>
        <w:t xml:space="preserve"> </w:t>
      </w:r>
      <w:r w:rsidRPr="007F761D">
        <w:rPr>
          <w:rFonts w:eastAsia="MS Mincho" w:cs="Arial"/>
          <w:bCs/>
          <w:lang w:eastAsia="en-US"/>
        </w:rPr>
        <w:t>Odvodnění povrchových vod je realizováno do souběžně vedených cestních příkopů SP2a – SP2c a také do souběžného vodního toku</w:t>
      </w:r>
      <w:r>
        <w:rPr>
          <w:rFonts w:eastAsia="MS Mincho" w:cs="Arial"/>
          <w:bCs/>
          <w:lang w:eastAsia="en-US"/>
        </w:rPr>
        <w:t>. Dále je uvažováno s</w:t>
      </w:r>
      <w:r w:rsidRPr="007F761D">
        <w:rPr>
          <w:rFonts w:eastAsia="MS Mincho" w:cs="Arial"/>
          <w:bCs/>
          <w:lang w:eastAsia="en-US"/>
        </w:rPr>
        <w:t xml:space="preserve"> výhybn</w:t>
      </w:r>
      <w:r>
        <w:rPr>
          <w:rFonts w:eastAsia="MS Mincho" w:cs="Arial"/>
          <w:bCs/>
          <w:lang w:eastAsia="en-US"/>
        </w:rPr>
        <w:t>ami</w:t>
      </w:r>
      <w:r w:rsidRPr="007F761D">
        <w:rPr>
          <w:rFonts w:eastAsia="MS Mincho" w:cs="Arial"/>
          <w:bCs/>
          <w:lang w:eastAsia="en-US"/>
        </w:rPr>
        <w:t xml:space="preserve"> V1 – V6, rekonstrukc</w:t>
      </w:r>
      <w:r>
        <w:rPr>
          <w:rFonts w:eastAsia="MS Mincho" w:cs="Arial"/>
          <w:bCs/>
          <w:lang w:eastAsia="en-US"/>
        </w:rPr>
        <w:t>í</w:t>
      </w:r>
      <w:r w:rsidRPr="007F761D">
        <w:rPr>
          <w:rFonts w:eastAsia="MS Mincho" w:cs="Arial"/>
          <w:bCs/>
          <w:lang w:eastAsia="en-US"/>
        </w:rPr>
        <w:t xml:space="preserve"> propust</w:t>
      </w:r>
      <w:r>
        <w:rPr>
          <w:rFonts w:eastAsia="MS Mincho" w:cs="Arial"/>
          <w:bCs/>
          <w:lang w:eastAsia="en-US"/>
        </w:rPr>
        <w:t>ku</w:t>
      </w:r>
      <w:r w:rsidRPr="007F761D">
        <w:rPr>
          <w:rFonts w:eastAsia="MS Mincho" w:cs="Arial"/>
          <w:bCs/>
          <w:lang w:eastAsia="en-US"/>
        </w:rPr>
        <w:t xml:space="preserve"> P21, </w:t>
      </w:r>
      <w:r>
        <w:rPr>
          <w:rFonts w:eastAsia="MS Mincho" w:cs="Arial"/>
          <w:bCs/>
          <w:lang w:eastAsia="en-US"/>
        </w:rPr>
        <w:t xml:space="preserve">a </w:t>
      </w:r>
      <w:r w:rsidRPr="007F761D">
        <w:rPr>
          <w:rFonts w:eastAsia="MS Mincho" w:cs="Arial"/>
          <w:bCs/>
          <w:lang w:eastAsia="en-US"/>
        </w:rPr>
        <w:t>n</w:t>
      </w:r>
      <w:r>
        <w:rPr>
          <w:rFonts w:eastAsia="MS Mincho" w:cs="Arial"/>
          <w:bCs/>
          <w:lang w:eastAsia="en-US"/>
        </w:rPr>
        <w:t>ávrhem</w:t>
      </w:r>
      <w:r w:rsidRPr="007F761D">
        <w:rPr>
          <w:rFonts w:eastAsia="MS Mincho" w:cs="Arial"/>
          <w:bCs/>
          <w:lang w:eastAsia="en-US"/>
        </w:rPr>
        <w:t xml:space="preserve"> propustk</w:t>
      </w:r>
      <w:r>
        <w:rPr>
          <w:rFonts w:eastAsia="MS Mincho" w:cs="Arial"/>
          <w:bCs/>
          <w:lang w:eastAsia="en-US"/>
        </w:rPr>
        <w:t>ů</w:t>
      </w:r>
      <w:r w:rsidRPr="007F761D">
        <w:rPr>
          <w:rFonts w:eastAsia="MS Mincho" w:cs="Arial"/>
          <w:bCs/>
          <w:lang w:eastAsia="en-US"/>
        </w:rPr>
        <w:t xml:space="preserve"> P49, P50, P51.</w:t>
      </w:r>
      <w:r>
        <w:rPr>
          <w:rFonts w:eastAsia="MS Mincho" w:cs="Arial"/>
          <w:bCs/>
          <w:lang w:eastAsia="en-US"/>
        </w:rPr>
        <w:t xml:space="preserve"> V trase polní cesty dojde ke k</w:t>
      </w:r>
      <w:r w:rsidRPr="003305EF">
        <w:rPr>
          <w:rFonts w:eastAsia="MS Mincho" w:cs="Arial"/>
          <w:bCs/>
          <w:lang w:eastAsia="en-US"/>
        </w:rPr>
        <w:t>řížení s podzemním sdělovacím vedením ve staničení cca 0,02 km</w:t>
      </w:r>
      <w:r>
        <w:rPr>
          <w:rFonts w:eastAsia="MS Mincho" w:cs="Arial"/>
          <w:bCs/>
          <w:lang w:eastAsia="en-US"/>
        </w:rPr>
        <w:t xml:space="preserve">, </w:t>
      </w:r>
      <w:r w:rsidRPr="003305EF">
        <w:rPr>
          <w:rFonts w:eastAsia="MS Mincho" w:cs="Arial"/>
          <w:bCs/>
          <w:lang w:eastAsia="en-US"/>
        </w:rPr>
        <w:t>s vodovodem ve staničení cca 0,04 km</w:t>
      </w:r>
      <w:r>
        <w:rPr>
          <w:rFonts w:eastAsia="MS Mincho" w:cs="Arial"/>
          <w:bCs/>
          <w:lang w:eastAsia="en-US"/>
        </w:rPr>
        <w:t xml:space="preserve">, </w:t>
      </w:r>
      <w:r w:rsidRPr="003305EF">
        <w:rPr>
          <w:rFonts w:eastAsia="MS Mincho" w:cs="Arial"/>
          <w:bCs/>
          <w:lang w:eastAsia="en-US"/>
        </w:rPr>
        <w:t>s podzemním vedením STL plynovodu ve staničení cca 0,05 km</w:t>
      </w:r>
      <w:r>
        <w:rPr>
          <w:rFonts w:eastAsia="MS Mincho" w:cs="Arial"/>
          <w:bCs/>
          <w:lang w:eastAsia="en-US"/>
        </w:rPr>
        <w:t xml:space="preserve"> a </w:t>
      </w:r>
      <w:r w:rsidRPr="003305EF">
        <w:rPr>
          <w:rFonts w:eastAsia="MS Mincho" w:cs="Arial"/>
          <w:bCs/>
          <w:lang w:eastAsia="en-US"/>
        </w:rPr>
        <w:t>s nadzemním el</w:t>
      </w:r>
      <w:r>
        <w:rPr>
          <w:rFonts w:eastAsia="MS Mincho" w:cs="Arial"/>
          <w:bCs/>
          <w:lang w:eastAsia="en-US"/>
        </w:rPr>
        <w:t>ektrickým</w:t>
      </w:r>
      <w:r w:rsidRPr="003305EF">
        <w:rPr>
          <w:rFonts w:eastAsia="MS Mincho" w:cs="Arial"/>
          <w:bCs/>
          <w:lang w:eastAsia="en-US"/>
        </w:rPr>
        <w:t xml:space="preserve"> vedením VN ve staničení cca 0,14 km.</w:t>
      </w:r>
      <w:r>
        <w:rPr>
          <w:rFonts w:eastAsia="MS Mincho" w:cs="Arial"/>
          <w:bCs/>
          <w:lang w:eastAsia="en-US"/>
        </w:rPr>
        <w:t xml:space="preserve"> </w:t>
      </w:r>
      <w:r w:rsidRPr="003305EF">
        <w:rPr>
          <w:rFonts w:eastAsia="MS Mincho" w:cs="Arial"/>
          <w:bCs/>
          <w:lang w:eastAsia="en-US"/>
        </w:rPr>
        <w:t>Trasa polní cesty prochází odvodněnými oblastmi (meliorace).</w:t>
      </w:r>
    </w:p>
    <w:p w14:paraId="34A5D96E" w14:textId="77777777" w:rsidR="0093478D" w:rsidRPr="00006867" w:rsidRDefault="0093478D" w:rsidP="0093478D">
      <w:pPr>
        <w:autoSpaceDE w:val="0"/>
        <w:autoSpaceDN w:val="0"/>
        <w:adjustRightInd w:val="0"/>
        <w:spacing w:after="0"/>
        <w:ind w:left="709"/>
        <w:rPr>
          <w:rFonts w:eastAsia="MS Mincho" w:cs="Arial"/>
          <w:b/>
          <w:bCs/>
          <w:lang w:eastAsia="en-US"/>
        </w:rPr>
      </w:pPr>
    </w:p>
    <w:p w14:paraId="5993282D" w14:textId="77777777" w:rsidR="0093478D" w:rsidRPr="00006867" w:rsidRDefault="0093478D" w:rsidP="0093478D">
      <w:pPr>
        <w:autoSpaceDE w:val="0"/>
        <w:autoSpaceDN w:val="0"/>
        <w:adjustRightInd w:val="0"/>
        <w:spacing w:after="0"/>
        <w:ind w:left="709"/>
        <w:rPr>
          <w:rFonts w:eastAsia="MS Mincho" w:cs="Arial"/>
          <w:b/>
          <w:bCs/>
          <w:lang w:eastAsia="en-US"/>
        </w:rPr>
      </w:pPr>
      <w:r w:rsidRPr="00006867">
        <w:rPr>
          <w:rFonts w:eastAsia="MS Mincho" w:cs="Arial"/>
          <w:b/>
          <w:bCs/>
          <w:lang w:eastAsia="en-US"/>
        </w:rPr>
        <w:t>SO 02</w:t>
      </w:r>
      <w:r>
        <w:rPr>
          <w:rFonts w:eastAsia="MS Mincho" w:cs="Arial"/>
          <w:b/>
          <w:bCs/>
          <w:lang w:eastAsia="en-US"/>
        </w:rPr>
        <w:t>, 03</w:t>
      </w:r>
      <w:r w:rsidRPr="00006867">
        <w:rPr>
          <w:rFonts w:eastAsia="MS Mincho" w:cs="Arial"/>
          <w:b/>
          <w:bCs/>
          <w:lang w:eastAsia="en-US"/>
        </w:rPr>
        <w:t xml:space="preserve"> – </w:t>
      </w:r>
      <w:r w:rsidRPr="00FE2839">
        <w:rPr>
          <w:rFonts w:eastAsia="MS Mincho" w:cs="Arial"/>
          <w:b/>
          <w:bCs/>
          <w:lang w:eastAsia="en-US"/>
        </w:rPr>
        <w:t>Interakční prvek IP1</w:t>
      </w:r>
      <w:r>
        <w:rPr>
          <w:rFonts w:eastAsia="MS Mincho" w:cs="Arial"/>
          <w:b/>
          <w:bCs/>
          <w:lang w:eastAsia="en-US"/>
        </w:rPr>
        <w:t>7, IP18</w:t>
      </w:r>
    </w:p>
    <w:p w14:paraId="78338D4A" w14:textId="71BF185C" w:rsidR="000F5BF7" w:rsidRPr="0093478D" w:rsidRDefault="0093478D" w:rsidP="0093478D">
      <w:pPr>
        <w:autoSpaceDE w:val="0"/>
        <w:autoSpaceDN w:val="0"/>
        <w:adjustRightInd w:val="0"/>
        <w:spacing w:after="0"/>
        <w:ind w:left="709"/>
        <w:rPr>
          <w:rStyle w:val="l-L2Char"/>
          <w:rFonts w:eastAsia="MS Mincho" w:cs="Arial"/>
          <w:bCs/>
          <w:lang w:eastAsia="en-US"/>
        </w:rPr>
      </w:pPr>
      <w:r w:rsidRPr="00FE2839">
        <w:rPr>
          <w:rFonts w:eastAsia="MS Mincho" w:cs="Arial"/>
          <w:bCs/>
          <w:lang w:eastAsia="en-US"/>
        </w:rPr>
        <w:t>Podél polní cesty je navržena výsadba liniových interakčních prvků IP17</w:t>
      </w:r>
      <w:r>
        <w:rPr>
          <w:rFonts w:eastAsia="MS Mincho" w:cs="Arial"/>
          <w:bCs/>
          <w:lang w:eastAsia="en-US"/>
        </w:rPr>
        <w:t xml:space="preserve"> </w:t>
      </w:r>
      <w:r w:rsidRPr="00FE2839">
        <w:rPr>
          <w:rFonts w:eastAsia="MS Mincho" w:cs="Arial"/>
          <w:bCs/>
          <w:lang w:eastAsia="en-US"/>
        </w:rPr>
        <w:t>a IP18 (aleje).</w:t>
      </w:r>
      <w:bookmarkEnd w:id="2"/>
      <w:bookmarkEnd w:id="3"/>
      <w:bookmarkEnd w:id="4"/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4055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840551">
        <w:rPr>
          <w:rStyle w:val="l-L2Char"/>
          <w:rFonts w:cs="Arial"/>
          <w:b w:val="0"/>
          <w:szCs w:val="22"/>
          <w:u w:val="none"/>
        </w:rPr>
        <w:lastRenderedPageBreak/>
        <w:t xml:space="preserve">Podrobná specifikace </w:t>
      </w:r>
      <w:r w:rsidR="009821DF" w:rsidRPr="00840551">
        <w:rPr>
          <w:rStyle w:val="l-L2Char"/>
          <w:rFonts w:cs="Arial"/>
          <w:b w:val="0"/>
          <w:szCs w:val="22"/>
          <w:u w:val="none"/>
        </w:rPr>
        <w:t>Díla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Pr="00840551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840551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840551">
        <w:rPr>
          <w:rStyle w:val="l-L2Char"/>
          <w:rFonts w:cs="Arial"/>
          <w:b w:val="0"/>
          <w:szCs w:val="22"/>
          <w:u w:val="none"/>
        </w:rPr>
        <w:t>s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,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kter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é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sou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.</w:t>
      </w:r>
      <w:r w:rsidR="00631AE8" w:rsidRPr="00840551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65940A6D" w:rsidR="002F6773" w:rsidRPr="00840551" w:rsidRDefault="0079201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0551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840551">
        <w:rPr>
          <w:rStyle w:val="l-L2Char"/>
          <w:rFonts w:cs="Arial"/>
          <w:b w:val="0"/>
          <w:szCs w:val="22"/>
          <w:u w:val="none"/>
        </w:rPr>
        <w:t xml:space="preserve">je </w:t>
      </w:r>
      <w:r w:rsidRPr="00840551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840551">
        <w:rPr>
          <w:rStyle w:val="l-L2Char"/>
          <w:rFonts w:cs="Arial"/>
          <w:b w:val="0"/>
          <w:szCs w:val="22"/>
          <w:u w:val="none"/>
        </w:rPr>
        <w:t>P</w:t>
      </w:r>
      <w:r w:rsidRPr="00840551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840551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840551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840551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840551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840551">
        <w:rPr>
          <w:rStyle w:val="l-L2Char"/>
          <w:rFonts w:cs="Arial"/>
          <w:b w:val="0"/>
          <w:szCs w:val="22"/>
          <w:u w:val="none"/>
        </w:rPr>
        <w:t>jednání</w:t>
      </w:r>
      <w:r w:rsidRPr="00840551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3D6407DF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5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6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7"/>
      <w:bookmarkEnd w:id="8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0B5946C3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>Projektová dokumentace</w:t>
      </w:r>
      <w:r w:rsidR="00746206">
        <w:rPr>
          <w:rStyle w:val="l-L2Char"/>
          <w:rFonts w:cs="Arial"/>
          <w:b w:val="0"/>
          <w:szCs w:val="22"/>
          <w:u w:val="none"/>
        </w:rPr>
        <w:t xml:space="preserve">: </w:t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  <w:t xml:space="preserve">          </w:t>
      </w:r>
      <w:r w:rsidR="000E26BB" w:rsidRPr="00792083">
        <w:rPr>
          <w:rStyle w:val="l-L2Char"/>
          <w:rFonts w:cs="Arial"/>
          <w:bCs/>
          <w:szCs w:val="22"/>
          <w:u w:val="none"/>
        </w:rPr>
        <w:t>30. 9</w:t>
      </w:r>
      <w:r w:rsidR="00746206" w:rsidRPr="00792083">
        <w:rPr>
          <w:rStyle w:val="l-L2Char"/>
          <w:rFonts w:cs="Arial"/>
          <w:bCs/>
          <w:szCs w:val="22"/>
          <w:u w:val="none"/>
        </w:rPr>
        <w:t>. 2021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29DA11E6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>b) stavební povolení (rozhodnutí s doložkou právní moci</w:t>
      </w:r>
      <w:proofErr w:type="gramStart"/>
      <w:r w:rsidRPr="00843160">
        <w:rPr>
          <w:rStyle w:val="l-L2Char"/>
          <w:rFonts w:cs="Arial"/>
          <w:b w:val="0"/>
          <w:szCs w:val="22"/>
          <w:u w:val="none"/>
        </w:rPr>
        <w:t>)</w:t>
      </w:r>
      <w:r w:rsidR="00746206">
        <w:rPr>
          <w:rStyle w:val="l-L2Char"/>
          <w:rFonts w:cs="Arial"/>
          <w:b w:val="0"/>
          <w:szCs w:val="22"/>
          <w:u w:val="none"/>
        </w:rPr>
        <w:t xml:space="preserve">: </w:t>
      </w:r>
      <w:r w:rsidR="00D42A42">
        <w:rPr>
          <w:rStyle w:val="l-L2Char"/>
          <w:rFonts w:cs="Arial"/>
          <w:b w:val="0"/>
          <w:szCs w:val="22"/>
          <w:u w:val="none"/>
        </w:rPr>
        <w:t xml:space="preserve"> </w:t>
      </w:r>
      <w:r w:rsidR="00D42A42" w:rsidRPr="00D42A42">
        <w:rPr>
          <w:rFonts w:ascii="Arial" w:hAnsi="Arial" w:cs="Arial"/>
          <w:bCs/>
          <w:snapToGrid w:val="0"/>
          <w:szCs w:val="22"/>
          <w:u w:val="none"/>
        </w:rPr>
        <w:t>do</w:t>
      </w:r>
      <w:proofErr w:type="gramEnd"/>
      <w:r w:rsidR="00D42A42" w:rsidRPr="00D42A42">
        <w:rPr>
          <w:rFonts w:ascii="Arial" w:hAnsi="Arial" w:cs="Arial"/>
          <w:bCs/>
          <w:snapToGrid w:val="0"/>
          <w:szCs w:val="22"/>
          <w:u w:val="none"/>
        </w:rPr>
        <w:t xml:space="preserve"> 4 měsíců po předání 1. části Plnění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Pr="00147447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147447">
        <w:rPr>
          <w:rStyle w:val="l-L2Char"/>
          <w:rFonts w:cs="Arial"/>
          <w:b w:val="0"/>
          <w:szCs w:val="22"/>
          <w:u w:val="none"/>
        </w:rPr>
        <w:t>Díla</w:t>
      </w:r>
      <w:r w:rsidRPr="00147447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147447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14744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14744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079A428" w14:textId="77777777" w:rsidR="00123DF6" w:rsidRDefault="00123DF6" w:rsidP="00123DF6">
      <w:pPr>
        <w:pStyle w:val="Odstavecseseznamem"/>
        <w:numPr>
          <w:ilvl w:val="1"/>
          <w:numId w:val="3"/>
        </w:numPr>
        <w:spacing w:before="120" w:line="288" w:lineRule="auto"/>
        <w:contextualSpacing w:val="0"/>
        <w:jc w:val="both"/>
        <w:rPr>
          <w:rFonts w:cs="Arial"/>
          <w:szCs w:val="22"/>
        </w:rPr>
      </w:pPr>
      <w:r>
        <w:rPr>
          <w:rFonts w:cs="Arial"/>
        </w:rPr>
        <w:t xml:space="preserve">Celková cena za provedení Díla činí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bez DPH, </w:t>
      </w:r>
      <w:r>
        <w:rPr>
          <w:rFonts w:cs="Arial"/>
        </w:rPr>
        <w:t xml:space="preserve">tj.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včetně DPH)</w:t>
      </w:r>
      <w:r>
        <w:rPr>
          <w:rFonts w:cs="Arial"/>
        </w:rPr>
        <w:t>. DPH bude účtována v příslušné výši stanovené zákonem.</w:t>
      </w:r>
    </w:p>
    <w:p w14:paraId="559B3FF0" w14:textId="77777777" w:rsidR="00123DF6" w:rsidRDefault="00123DF6" w:rsidP="00123DF6">
      <w:pPr>
        <w:keepNext/>
        <w:spacing w:before="120" w:line="288" w:lineRule="auto"/>
        <w:ind w:left="737"/>
        <w:jc w:val="both"/>
        <w:rPr>
          <w:rFonts w:eastAsiaTheme="minorHAnsi" w:cs="Arial"/>
        </w:rPr>
      </w:pPr>
      <w:bookmarkStart w:id="9" w:name="_Hlk62477038"/>
      <w:r>
        <w:rPr>
          <w:rFonts w:cs="Arial"/>
        </w:rPr>
        <w:t xml:space="preserve">Cena za vyhotovení projektové dokumentace - 1. část Plnění činí </w:t>
      </w:r>
    </w:p>
    <w:p w14:paraId="3FF0B6E0" w14:textId="77777777" w:rsidR="00123DF6" w:rsidRDefault="00123DF6" w:rsidP="00123DF6">
      <w:pPr>
        <w:keepNext/>
        <w:spacing w:before="120" w:line="288" w:lineRule="auto"/>
        <w:ind w:left="737"/>
        <w:jc w:val="both"/>
        <w:rPr>
          <w:rFonts w:cs="Arial"/>
        </w:rPr>
      </w:pP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Kč bez </w:t>
      </w:r>
      <w:proofErr w:type="gramStart"/>
      <w:r>
        <w:rPr>
          <w:rFonts w:cs="Arial"/>
        </w:rPr>
        <w:t>DPH,  tj.</w:t>
      </w:r>
      <w:proofErr w:type="gramEnd"/>
      <w:r>
        <w:rPr>
          <w:rFonts w:cs="Arial"/>
        </w:rPr>
        <w:t xml:space="preserve">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>Kč včetně DPH.</w:t>
      </w:r>
    </w:p>
    <w:p w14:paraId="10A488C5" w14:textId="77777777" w:rsidR="00123DF6" w:rsidRDefault="00123DF6" w:rsidP="00123DF6">
      <w:pPr>
        <w:spacing w:before="120" w:line="288" w:lineRule="auto"/>
        <w:ind w:left="737"/>
        <w:jc w:val="both"/>
        <w:rPr>
          <w:rFonts w:cs="Arial"/>
        </w:rPr>
      </w:pPr>
      <w:r>
        <w:rPr>
          <w:rFonts w:cs="Arial"/>
        </w:rPr>
        <w:t xml:space="preserve">Cena za vyřízení pravomocných stavebních povolení - 2. část Plnění činí </w:t>
      </w:r>
    </w:p>
    <w:p w14:paraId="131F956E" w14:textId="77777777" w:rsidR="00123DF6" w:rsidRDefault="00123DF6" w:rsidP="00123DF6">
      <w:pPr>
        <w:spacing w:before="120" w:line="288" w:lineRule="auto"/>
        <w:ind w:left="737"/>
        <w:jc w:val="both"/>
        <w:rPr>
          <w:rFonts w:cs="Arial"/>
        </w:rPr>
      </w:pP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Kč bez DPH, tj.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Kč včetně DPH. </w:t>
      </w:r>
    </w:p>
    <w:bookmarkEnd w:id="9"/>
    <w:p w14:paraId="46E1F9C9" w14:textId="25E95A61" w:rsidR="00123DF6" w:rsidRPr="00123DF6" w:rsidRDefault="00123DF6" w:rsidP="00123DF6">
      <w:pPr>
        <w:spacing w:before="120" w:line="288" w:lineRule="auto"/>
        <w:ind w:left="73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Cena bude stanovena s přesností na dvě desetinná místa.</w:t>
      </w:r>
      <w:bookmarkStart w:id="10" w:name="_GoBack"/>
      <w:bookmarkEnd w:id="10"/>
    </w:p>
    <w:p w14:paraId="6C16DC20" w14:textId="3570E3DA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Pr="00890EDE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 w:rsidRPr="00890EDE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890EDE">
        <w:rPr>
          <w:b w:val="0"/>
          <w:u w:val="none"/>
        </w:rPr>
        <w:t xml:space="preserve"> </w:t>
      </w:r>
      <w:r w:rsidR="00054689" w:rsidRPr="00890EDE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 </w:t>
      </w:r>
    </w:p>
    <w:p w14:paraId="5CEA5DD5" w14:textId="2D0424E4" w:rsidR="00712A60" w:rsidRPr="00890EDE" w:rsidRDefault="00712A60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90EDE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890EDE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890EDE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890EDE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890EDE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37D82B02" w:rsidR="00C75A45" w:rsidRPr="004D5F78" w:rsidRDefault="00C75A45" w:rsidP="001E433C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Konečný příjemce: Státní pozemkový úřad, Pobočka</w:t>
      </w:r>
      <w:r w:rsidR="001E433C">
        <w:rPr>
          <w:rStyle w:val="l-L2Char"/>
          <w:rFonts w:cs="Arial"/>
          <w:b w:val="0"/>
          <w:szCs w:val="22"/>
          <w:u w:val="none"/>
        </w:rPr>
        <w:t xml:space="preserve"> Kroměříž, </w:t>
      </w:r>
      <w:r w:rsidR="001E433C" w:rsidRPr="001E433C">
        <w:rPr>
          <w:rStyle w:val="l-L2Char"/>
          <w:rFonts w:cs="Arial"/>
          <w:b w:val="0"/>
          <w:szCs w:val="22"/>
          <w:u w:val="none"/>
        </w:rPr>
        <w:t>Riegrovo nám. 3228/22, Kroměříž 767</w:t>
      </w:r>
      <w:r w:rsidR="001E433C">
        <w:rPr>
          <w:rStyle w:val="l-L2Char"/>
          <w:rFonts w:cs="Arial"/>
          <w:b w:val="0"/>
          <w:szCs w:val="22"/>
          <w:u w:val="none"/>
        </w:rPr>
        <w:t xml:space="preserve"> </w:t>
      </w:r>
      <w:r w:rsidR="001E433C" w:rsidRPr="001E433C">
        <w:rPr>
          <w:rStyle w:val="l-L2Char"/>
          <w:rFonts w:cs="Arial"/>
          <w:b w:val="0"/>
          <w:szCs w:val="22"/>
          <w:u w:val="none"/>
        </w:rPr>
        <w:t>01</w:t>
      </w:r>
      <w:r w:rsidR="001E433C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03A5128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B07F2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B07F28" w:rsidRPr="00B07F28">
        <w:rPr>
          <w:rStyle w:val="l-L2Char"/>
          <w:rFonts w:cs="Arial"/>
          <w:b w:val="0"/>
          <w:szCs w:val="22"/>
          <w:u w:val="none"/>
        </w:rPr>
        <w:t>1. části Plnění (vypracování projektové dokumentace)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3DD17B20" w:rsidR="008D2DA1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86D52E4" w14:textId="77777777" w:rsidR="00CB07FE" w:rsidRPr="005202FA" w:rsidRDefault="00CB07FE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CB07FE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 xml:space="preserve">se zavazuje, zachovávat mlčenlivost o všech skutečnostech, o kterých se dozví </w:t>
      </w:r>
      <w:r w:rsidR="004D037A" w:rsidRPr="00CB07FE">
        <w:rPr>
          <w:rStyle w:val="l-L2Char"/>
          <w:rFonts w:cs="Arial"/>
          <w:b w:val="0"/>
          <w:szCs w:val="22"/>
          <w:u w:val="none"/>
        </w:rPr>
        <w:t>od objednatele v souvislosti s plněním smlouvy</w:t>
      </w:r>
      <w:r w:rsidR="000D7597" w:rsidRPr="00CB07FE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CB07FE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CB07FE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70A099B" w:rsidR="004D037A" w:rsidRPr="00CB07FE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B07FE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CB07FE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CB07FE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CB07FE">
        <w:rPr>
          <w:rStyle w:val="l-L2Char"/>
          <w:rFonts w:cs="Arial"/>
          <w:b w:val="0"/>
          <w:szCs w:val="22"/>
          <w:u w:val="none"/>
        </w:rPr>
        <w:t>e</w:t>
      </w:r>
      <w:r w:rsidRPr="00CB07FE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 Kč, a to za každý jednotlivý případ porušení </w:t>
      </w:r>
      <w:r w:rsidR="00455978" w:rsidRPr="00CB07FE">
        <w:rPr>
          <w:rStyle w:val="l-L2Char"/>
          <w:rFonts w:cs="Arial"/>
          <w:b w:val="0"/>
          <w:szCs w:val="22"/>
          <w:u w:val="none"/>
        </w:rPr>
        <w:t>této</w:t>
      </w:r>
      <w:r w:rsidR="002538F3" w:rsidRPr="00CB07FE">
        <w:rPr>
          <w:rStyle w:val="l-L2Char"/>
          <w:rFonts w:cs="Arial"/>
          <w:b w:val="0"/>
          <w:szCs w:val="22"/>
          <w:u w:val="none"/>
        </w:rPr>
        <w:t xml:space="preserve"> </w:t>
      </w:r>
      <w:r w:rsidRPr="00CB07FE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CB07FE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CB07FE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CB07FE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B07F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B07F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B07F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B07FE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B07F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>Pojištění zhotovitele</w:t>
      </w:r>
    </w:p>
    <w:p w14:paraId="0A83251C" w14:textId="2FE10A68" w:rsidR="00712A60" w:rsidRPr="00CB07FE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12" w:name="_Hlk19543338"/>
      <w:r w:rsidRPr="00CB07FE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B07FE" w:rsidRPr="00CB07FE">
        <w:rPr>
          <w:rFonts w:cs="Arial"/>
          <w:szCs w:val="22"/>
        </w:rPr>
        <w:t xml:space="preserve"> 340 000</w:t>
      </w:r>
      <w:r w:rsidR="00BB1545" w:rsidRPr="00CB07FE">
        <w:rPr>
          <w:rFonts w:cs="Arial"/>
          <w:b/>
          <w:szCs w:val="22"/>
        </w:rPr>
        <w:t xml:space="preserve"> </w:t>
      </w:r>
      <w:r w:rsidR="00BB1545" w:rsidRPr="00CB07FE">
        <w:rPr>
          <w:rFonts w:cs="Arial"/>
          <w:szCs w:val="22"/>
        </w:rPr>
        <w:t>Kč</w:t>
      </w:r>
      <w:r w:rsidR="00BB1545" w:rsidRPr="00CB07FE">
        <w:rPr>
          <w:rFonts w:cs="Arial"/>
        </w:rPr>
        <w:t xml:space="preserve">. </w:t>
      </w:r>
      <w:r w:rsidRPr="00CB07FE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CB07FE">
        <w:rPr>
          <w:rFonts w:cs="Arial"/>
          <w:szCs w:val="22"/>
        </w:rPr>
        <w:t xml:space="preserve">Na žádost objednatele je zhotovitel </w:t>
      </w:r>
      <w:proofErr w:type="gramStart"/>
      <w:r w:rsidR="00261C1F" w:rsidRPr="00CB07FE">
        <w:rPr>
          <w:rFonts w:cs="Arial"/>
          <w:szCs w:val="22"/>
        </w:rPr>
        <w:t>povinen  kdykoliv</w:t>
      </w:r>
      <w:proofErr w:type="gramEnd"/>
      <w:r w:rsidR="00261C1F" w:rsidRPr="00CB07FE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12"/>
    <w:p w14:paraId="126C65C8" w14:textId="237B1A84" w:rsidR="009D39E8" w:rsidRPr="00CB07FE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br/>
      </w:r>
      <w:bookmarkStart w:id="13" w:name="_Ref376798291"/>
      <w:r w:rsidRPr="00CB07FE">
        <w:rPr>
          <w:rFonts w:ascii="Arial" w:hAnsi="Arial" w:cs="Arial"/>
          <w:szCs w:val="22"/>
        </w:rPr>
        <w:t>Licenční ujednání</w:t>
      </w:r>
      <w:bookmarkEnd w:id="13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CB07FE">
        <w:rPr>
          <w:rFonts w:cs="Arial"/>
          <w:szCs w:val="22"/>
          <w:lang w:eastAsia="en-US"/>
        </w:rPr>
        <w:t>Vzhledem k tomu, že součástí</w:t>
      </w:r>
      <w:r w:rsidR="00261C1F" w:rsidRPr="00CB07FE">
        <w:rPr>
          <w:rFonts w:cs="Arial"/>
          <w:szCs w:val="22"/>
          <w:lang w:eastAsia="en-US"/>
        </w:rPr>
        <w:t xml:space="preserve"> Díla</w:t>
      </w:r>
      <w:r w:rsidRPr="00CB07FE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CB07FE">
        <w:rPr>
          <w:rFonts w:cs="Arial"/>
          <w:szCs w:val="22"/>
          <w:lang w:eastAsia="en-US"/>
        </w:rPr>
        <w:t xml:space="preserve">ve znění pozdějších předpisů </w:t>
      </w:r>
      <w:r w:rsidRPr="00CB07FE">
        <w:rPr>
          <w:rFonts w:cs="Arial"/>
          <w:szCs w:val="22"/>
          <w:lang w:eastAsia="en-US"/>
        </w:rPr>
        <w:t>či předmětu chráněného průmyslovým vlastnictvím (dále jen „předmět ochrany“), je k těmto</w:t>
      </w:r>
      <w:r w:rsidRPr="004D5F78">
        <w:rPr>
          <w:rFonts w:cs="Arial"/>
          <w:szCs w:val="22"/>
          <w:lang w:eastAsia="en-US"/>
        </w:rPr>
        <w:t xml:space="preserve">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40058059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z ceny dílčího plnění dle Smlouvy  za každý byť i jen započatý den prodlení.</w:t>
      </w:r>
    </w:p>
    <w:p w14:paraId="6E339BF8" w14:textId="2A63A846" w:rsidR="00666E0D" w:rsidRPr="00B64234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53965" w:rsidRPr="00B64234">
        <w:rPr>
          <w:rStyle w:val="l-L2Char"/>
          <w:rFonts w:cs="Arial"/>
          <w:b w:val="0"/>
          <w:szCs w:val="22"/>
          <w:u w:val="none"/>
        </w:rPr>
        <w:t>této smlouvy</w:t>
      </w:r>
      <w:r w:rsidRPr="00B64234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64234">
        <w:rPr>
          <w:rStyle w:val="l-L2Char"/>
          <w:rFonts w:cs="Arial"/>
          <w:b w:val="0"/>
          <w:szCs w:val="22"/>
          <w:u w:val="none"/>
        </w:rPr>
        <w:t>0,</w:t>
      </w:r>
      <w:r w:rsidR="00510351" w:rsidRPr="00B64234">
        <w:rPr>
          <w:rStyle w:val="l-L2Char"/>
          <w:rFonts w:cs="Arial"/>
          <w:b w:val="0"/>
          <w:szCs w:val="22"/>
          <w:u w:val="none"/>
        </w:rPr>
        <w:t xml:space="preserve">1 </w:t>
      </w:r>
      <w:r w:rsidR="00512DDF" w:rsidRPr="00B64234">
        <w:rPr>
          <w:rStyle w:val="l-L2Char"/>
          <w:rFonts w:cs="Arial"/>
          <w:b w:val="0"/>
          <w:szCs w:val="22"/>
          <w:u w:val="none"/>
        </w:rPr>
        <w:t>% z</w:t>
      </w:r>
      <w:r w:rsidR="00261C1F" w:rsidRPr="00B64234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B64234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B64234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B64234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B64234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B64234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64234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B64234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64234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5B40443E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F90F1C">
        <w:rPr>
          <w:szCs w:val="22"/>
          <w:lang w:eastAsia="en-US"/>
        </w:rPr>
        <w:t xml:space="preserve">výši </w:t>
      </w:r>
      <w:r w:rsidRPr="00F90F1C">
        <w:rPr>
          <w:szCs w:val="22"/>
          <w:lang w:val="en-US"/>
        </w:rPr>
        <w:t xml:space="preserve">2 500 </w:t>
      </w:r>
      <w:proofErr w:type="spellStart"/>
      <w:r w:rsidRPr="00F90F1C">
        <w:rPr>
          <w:szCs w:val="22"/>
          <w:lang w:val="en-US"/>
        </w:rPr>
        <w:t>Kč</w:t>
      </w:r>
      <w:proofErr w:type="spellEnd"/>
      <w:r w:rsidRPr="00F90F1C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lastRenderedPageBreak/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5065A16E" w:rsidR="00CD1317" w:rsidRPr="00423E50" w:rsidRDefault="00CD1317" w:rsidP="00423E50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59D6E31B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</w:t>
      </w:r>
      <w:r w:rsidR="00733194">
        <w:rPr>
          <w:rStyle w:val="l-L2Char"/>
          <w:rFonts w:cs="Arial"/>
          <w:b w:val="0"/>
          <w:szCs w:val="22"/>
          <w:u w:val="none"/>
        </w:rPr>
        <w:t xml:space="preserve"> analogicky v 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Pr="00733194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podrobného </w:t>
      </w:r>
      <w:r w:rsidR="002954D1" w:rsidRPr="00733194">
        <w:rPr>
          <w:rStyle w:val="l-L2Char"/>
          <w:rFonts w:cs="Arial"/>
          <w:b w:val="0"/>
          <w:szCs w:val="22"/>
          <w:u w:val="none"/>
        </w:rPr>
        <w:t>geotechnického průzkumu</w:t>
      </w:r>
    </w:p>
    <w:p w14:paraId="319C47C4" w14:textId="5CB2236B" w:rsidR="00A5565A" w:rsidRPr="00733194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33194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C0A8185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E61FFE">
              <w:rPr>
                <w:rFonts w:cs="Arial"/>
                <w:szCs w:val="22"/>
              </w:rPr>
              <w:t>e</w:t>
            </w:r>
            <w:r w:rsidR="00E61FFE">
              <w:t xml:space="preserve"> </w:t>
            </w:r>
            <w:proofErr w:type="gramStart"/>
            <w:r w:rsidR="00E61FFE">
              <w:t xml:space="preserve">Zlíně </w:t>
            </w:r>
            <w:r w:rsidRPr="004D5F78">
              <w:rPr>
                <w:rFonts w:cs="Arial"/>
                <w:szCs w:val="22"/>
              </w:rPr>
              <w:t xml:space="preserve"> dne</w:t>
            </w:r>
            <w:proofErr w:type="gramEnd"/>
            <w:r w:rsidRPr="004D5F78">
              <w:rPr>
                <w:rFonts w:cs="Arial"/>
                <w:szCs w:val="22"/>
              </w:rPr>
              <w:t>………</w:t>
            </w:r>
            <w:r w:rsidR="00E61FFE">
              <w:rPr>
                <w:rFonts w:cs="Arial"/>
                <w:szCs w:val="22"/>
              </w:rPr>
              <w:t>.</w:t>
            </w:r>
            <w:r w:rsidR="00E61FFE">
              <w:t>.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177B48F7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BBFE938" w14:textId="77777777" w:rsidR="00E61FFE" w:rsidRDefault="00E61FFE" w:rsidP="00AE2DC5">
            <w:pPr>
              <w:spacing w:line="288" w:lineRule="auto"/>
              <w:jc w:val="center"/>
            </w:pPr>
          </w:p>
          <w:p w14:paraId="53C18CA6" w14:textId="77777777" w:rsidR="00E61FFE" w:rsidRDefault="00E61FFE" w:rsidP="00AE2DC5">
            <w:pPr>
              <w:spacing w:line="288" w:lineRule="auto"/>
              <w:jc w:val="center"/>
            </w:pPr>
          </w:p>
          <w:p w14:paraId="44C3CBD1" w14:textId="5C62C237" w:rsidR="00E61FFE" w:rsidRPr="004D5F78" w:rsidRDefault="00E61FFE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E61FFE">
            <w:pPr>
              <w:spacing w:line="288" w:lineRule="auto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0862B04A" w:rsidR="00CB55C3" w:rsidRPr="004D5F78" w:rsidRDefault="00E61FFE" w:rsidP="00E61FFE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</w:t>
            </w:r>
            <w:r w:rsidR="00CB55C3"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71C5AB8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35D114CB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31178251" w14:textId="77777777" w:rsidR="00E61FFE" w:rsidRDefault="00E61FFE" w:rsidP="00E61FFE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1DA5CEE0" w14:textId="6DEF3DB5" w:rsidR="00152458" w:rsidRPr="004D5F78" w:rsidRDefault="00E61FFE" w:rsidP="00E61FFE">
      <w:pPr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  <w:r>
        <w:rPr>
          <w:rFonts w:cs="Arial"/>
          <w:szCs w:val="20"/>
        </w:rPr>
        <w:t>ředitelka</w:t>
      </w: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23D8CDE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</w:t>
      </w:r>
      <w:r w:rsidR="00E6295B">
        <w:rPr>
          <w:rFonts w:ascii="Arial" w:hAnsi="Arial" w:cs="Arial"/>
          <w:b w:val="0"/>
          <w:szCs w:val="22"/>
          <w:u w:val="none"/>
        </w:rPr>
        <w:t>, ve znění pozdějších předpisů.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7DEFF52F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0E11065D" w14:textId="3108E7B7" w:rsidR="00C629E5" w:rsidRPr="00636741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26742EF3" w14:textId="77777777" w:rsidR="00636741" w:rsidRPr="00006867" w:rsidRDefault="00636741" w:rsidP="00636741">
      <w:pPr>
        <w:spacing w:after="0"/>
        <w:ind w:left="1276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01 – </w:t>
      </w:r>
      <w:r>
        <w:rPr>
          <w:rFonts w:eastAsia="MS Mincho" w:cs="Arial"/>
          <w:szCs w:val="20"/>
          <w:lang w:eastAsia="en-US"/>
        </w:rPr>
        <w:t>Polní cesta HC1</w:t>
      </w:r>
    </w:p>
    <w:p w14:paraId="5239DAA5" w14:textId="77777777" w:rsidR="00636741" w:rsidRPr="00006867" w:rsidRDefault="00636741" w:rsidP="00636741">
      <w:pPr>
        <w:spacing w:after="0"/>
        <w:ind w:left="1276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02 – </w:t>
      </w:r>
      <w:r>
        <w:rPr>
          <w:rFonts w:eastAsia="MS Mincho" w:cs="Arial"/>
          <w:szCs w:val="20"/>
          <w:lang w:eastAsia="en-US"/>
        </w:rPr>
        <w:t>Interakční prvek IP17</w:t>
      </w:r>
    </w:p>
    <w:p w14:paraId="1085D8E4" w14:textId="77777777" w:rsidR="00636741" w:rsidRPr="00006867" w:rsidRDefault="00636741" w:rsidP="00636741">
      <w:pPr>
        <w:spacing w:after="0"/>
        <w:ind w:left="1276"/>
        <w:rPr>
          <w:rFonts w:eastAsia="MS Mincho" w:cs="Arial"/>
          <w:szCs w:val="20"/>
          <w:lang w:eastAsia="en-US"/>
        </w:rPr>
      </w:pPr>
      <w:r w:rsidRPr="00006867">
        <w:rPr>
          <w:rFonts w:eastAsia="MS Mincho" w:cs="Arial"/>
          <w:szCs w:val="20"/>
          <w:lang w:eastAsia="en-US"/>
        </w:rPr>
        <w:t xml:space="preserve">SO 03 – </w:t>
      </w:r>
      <w:r>
        <w:rPr>
          <w:rFonts w:eastAsia="MS Mincho" w:cs="Arial"/>
          <w:szCs w:val="20"/>
          <w:lang w:eastAsia="en-US"/>
        </w:rPr>
        <w:t>Interakční prvek IP18</w:t>
      </w:r>
    </w:p>
    <w:p w14:paraId="79DE5A59" w14:textId="77777777" w:rsidR="00636741" w:rsidRPr="00006867" w:rsidRDefault="00636741" w:rsidP="00636741">
      <w:pPr>
        <w:spacing w:after="0"/>
        <w:ind w:firstLine="709"/>
        <w:rPr>
          <w:rFonts w:eastAsia="MS Mincho" w:cs="Arial"/>
          <w:szCs w:val="20"/>
          <w:lang w:eastAsia="en-US"/>
        </w:rPr>
      </w:pPr>
    </w:p>
    <w:p w14:paraId="623CF906" w14:textId="77777777" w:rsidR="00636741" w:rsidRPr="00006867" w:rsidRDefault="00636741" w:rsidP="00636741">
      <w:pPr>
        <w:autoSpaceDE w:val="0"/>
        <w:autoSpaceDN w:val="0"/>
        <w:adjustRightInd w:val="0"/>
        <w:spacing w:after="0"/>
        <w:ind w:left="1276"/>
        <w:jc w:val="both"/>
        <w:rPr>
          <w:rFonts w:eastAsia="MS Mincho" w:cs="Arial"/>
          <w:b/>
          <w:bCs/>
          <w:lang w:eastAsia="en-US"/>
        </w:rPr>
      </w:pPr>
      <w:r w:rsidRPr="00006867">
        <w:rPr>
          <w:rFonts w:eastAsia="MS Mincho" w:cs="Arial"/>
          <w:b/>
          <w:bCs/>
          <w:lang w:eastAsia="en-US"/>
        </w:rPr>
        <w:t xml:space="preserve">SO 01 – </w:t>
      </w:r>
      <w:r>
        <w:rPr>
          <w:rFonts w:eastAsia="MS Mincho" w:cs="Arial"/>
          <w:b/>
          <w:bCs/>
          <w:lang w:eastAsia="en-US"/>
        </w:rPr>
        <w:t>Polní cesta HC1</w:t>
      </w:r>
    </w:p>
    <w:p w14:paraId="582A3C36" w14:textId="77777777" w:rsidR="00636741" w:rsidRPr="00006867" w:rsidRDefault="00636741" w:rsidP="00636741">
      <w:pPr>
        <w:autoSpaceDE w:val="0"/>
        <w:autoSpaceDN w:val="0"/>
        <w:adjustRightInd w:val="0"/>
        <w:spacing w:after="0"/>
        <w:ind w:left="1276"/>
        <w:jc w:val="both"/>
        <w:rPr>
          <w:rFonts w:eastAsia="MS Mincho" w:cs="Arial"/>
          <w:bCs/>
          <w:lang w:eastAsia="en-US"/>
        </w:rPr>
      </w:pPr>
      <w:r w:rsidRPr="00006867">
        <w:rPr>
          <w:rFonts w:eastAsia="MS Mincho" w:cs="Arial"/>
          <w:bCs/>
          <w:lang w:eastAsia="en-US"/>
        </w:rPr>
        <w:t xml:space="preserve">Hlavní polní cesta délky </w:t>
      </w:r>
      <w:r>
        <w:rPr>
          <w:rFonts w:eastAsia="MS Mincho" w:cs="Arial"/>
          <w:bCs/>
          <w:lang w:eastAsia="en-US"/>
        </w:rPr>
        <w:t xml:space="preserve">1860 </w:t>
      </w:r>
      <w:r w:rsidRPr="00006867">
        <w:rPr>
          <w:rFonts w:eastAsia="MS Mincho" w:cs="Arial"/>
          <w:bCs/>
          <w:lang w:eastAsia="en-US"/>
        </w:rPr>
        <w:t>m s asfaltovým povrchem, kategorie P4,5/</w:t>
      </w:r>
      <w:r>
        <w:rPr>
          <w:rFonts w:eastAsia="MS Mincho" w:cs="Arial"/>
          <w:bCs/>
          <w:lang w:eastAsia="en-US"/>
        </w:rPr>
        <w:t>2</w:t>
      </w:r>
      <w:r w:rsidRPr="00006867">
        <w:rPr>
          <w:rFonts w:eastAsia="MS Mincho" w:cs="Arial"/>
          <w:bCs/>
          <w:lang w:eastAsia="en-US"/>
        </w:rPr>
        <w:t>0, cesta jednopruhová</w:t>
      </w:r>
      <w:r>
        <w:rPr>
          <w:rFonts w:eastAsia="MS Mincho" w:cs="Arial"/>
          <w:bCs/>
          <w:lang w:eastAsia="en-US"/>
        </w:rPr>
        <w:t xml:space="preserve">. </w:t>
      </w:r>
      <w:r w:rsidRPr="003B4489">
        <w:rPr>
          <w:rFonts w:eastAsia="MS Mincho" w:cs="Arial"/>
          <w:bCs/>
          <w:lang w:eastAsia="en-US"/>
        </w:rPr>
        <w:t xml:space="preserve">Hlavní polní cesta je situována v jihozápadní části </w:t>
      </w:r>
      <w:proofErr w:type="spellStart"/>
      <w:r w:rsidRPr="003B4489">
        <w:rPr>
          <w:rFonts w:eastAsia="MS Mincho" w:cs="Arial"/>
          <w:bCs/>
          <w:lang w:eastAsia="en-US"/>
        </w:rPr>
        <w:t>k.ú</w:t>
      </w:r>
      <w:proofErr w:type="spellEnd"/>
      <w:r w:rsidRPr="003B4489">
        <w:rPr>
          <w:rFonts w:eastAsia="MS Mincho" w:cs="Arial"/>
          <w:bCs/>
          <w:lang w:eastAsia="en-US"/>
        </w:rPr>
        <w:t xml:space="preserve">. Litenčice. Zpřístupňuje zemědělské hony a napojuje sít vedlejších a doplňkových polních cest. </w:t>
      </w:r>
      <w:r>
        <w:rPr>
          <w:rFonts w:eastAsia="MS Mincho" w:cs="Arial"/>
          <w:bCs/>
          <w:lang w:eastAsia="en-US"/>
        </w:rPr>
        <w:t>Bude navržena</w:t>
      </w:r>
      <w:r w:rsidRPr="003B4489">
        <w:rPr>
          <w:rFonts w:eastAsia="MS Mincho" w:cs="Arial"/>
          <w:bCs/>
          <w:lang w:eastAsia="en-US"/>
        </w:rPr>
        <w:t xml:space="preserve"> kompletní rekonstrukc</w:t>
      </w:r>
      <w:r>
        <w:rPr>
          <w:rFonts w:eastAsia="MS Mincho" w:cs="Arial"/>
          <w:bCs/>
          <w:lang w:eastAsia="en-US"/>
        </w:rPr>
        <w:t>e</w:t>
      </w:r>
      <w:r w:rsidRPr="003B4489">
        <w:rPr>
          <w:rFonts w:eastAsia="MS Mincho" w:cs="Arial"/>
          <w:bCs/>
          <w:lang w:eastAsia="en-US"/>
        </w:rPr>
        <w:t xml:space="preserve"> polní cesty včetně podkladníc</w:t>
      </w:r>
      <w:r>
        <w:rPr>
          <w:rFonts w:eastAsia="MS Mincho" w:cs="Arial"/>
          <w:bCs/>
          <w:lang w:eastAsia="en-US"/>
        </w:rPr>
        <w:t>h</w:t>
      </w:r>
      <w:r w:rsidRPr="003B4489">
        <w:rPr>
          <w:rFonts w:eastAsia="MS Mincho" w:cs="Arial"/>
          <w:bCs/>
          <w:lang w:eastAsia="en-US"/>
        </w:rPr>
        <w:t xml:space="preserve"> a </w:t>
      </w:r>
      <w:r>
        <w:rPr>
          <w:rFonts w:eastAsia="MS Mincho" w:cs="Arial"/>
          <w:bCs/>
          <w:lang w:eastAsia="en-US"/>
        </w:rPr>
        <w:t>obrusných</w:t>
      </w:r>
      <w:r w:rsidRPr="003B4489">
        <w:rPr>
          <w:rFonts w:eastAsia="MS Mincho" w:cs="Arial"/>
          <w:bCs/>
          <w:lang w:eastAsia="en-US"/>
        </w:rPr>
        <w:t xml:space="preserve"> konstrukčních vrstev.</w:t>
      </w:r>
      <w:r>
        <w:rPr>
          <w:rFonts w:eastAsia="MS Mincho" w:cs="Arial"/>
          <w:bCs/>
          <w:lang w:eastAsia="en-US"/>
        </w:rPr>
        <w:t xml:space="preserve"> </w:t>
      </w:r>
      <w:r w:rsidRPr="007F761D">
        <w:rPr>
          <w:rFonts w:eastAsia="MS Mincho" w:cs="Arial"/>
          <w:bCs/>
          <w:lang w:eastAsia="en-US"/>
        </w:rPr>
        <w:t>Odvodnění povrchových vod je realizováno do souběžně vedených cestních příkopů SP2a – SP2c a také do souběžného vodního toku</w:t>
      </w:r>
      <w:r>
        <w:rPr>
          <w:rFonts w:eastAsia="MS Mincho" w:cs="Arial"/>
          <w:bCs/>
          <w:lang w:eastAsia="en-US"/>
        </w:rPr>
        <w:t>. Dále je uvažováno s</w:t>
      </w:r>
      <w:r w:rsidRPr="007F761D">
        <w:rPr>
          <w:rFonts w:eastAsia="MS Mincho" w:cs="Arial"/>
          <w:bCs/>
          <w:lang w:eastAsia="en-US"/>
        </w:rPr>
        <w:t xml:space="preserve"> výhybn</w:t>
      </w:r>
      <w:r>
        <w:rPr>
          <w:rFonts w:eastAsia="MS Mincho" w:cs="Arial"/>
          <w:bCs/>
          <w:lang w:eastAsia="en-US"/>
        </w:rPr>
        <w:t>ami</w:t>
      </w:r>
      <w:r w:rsidRPr="007F761D">
        <w:rPr>
          <w:rFonts w:eastAsia="MS Mincho" w:cs="Arial"/>
          <w:bCs/>
          <w:lang w:eastAsia="en-US"/>
        </w:rPr>
        <w:t xml:space="preserve"> V1 – V6, rekonstrukc</w:t>
      </w:r>
      <w:r>
        <w:rPr>
          <w:rFonts w:eastAsia="MS Mincho" w:cs="Arial"/>
          <w:bCs/>
          <w:lang w:eastAsia="en-US"/>
        </w:rPr>
        <w:t>í</w:t>
      </w:r>
      <w:r w:rsidRPr="007F761D">
        <w:rPr>
          <w:rFonts w:eastAsia="MS Mincho" w:cs="Arial"/>
          <w:bCs/>
          <w:lang w:eastAsia="en-US"/>
        </w:rPr>
        <w:t xml:space="preserve"> propust</w:t>
      </w:r>
      <w:r>
        <w:rPr>
          <w:rFonts w:eastAsia="MS Mincho" w:cs="Arial"/>
          <w:bCs/>
          <w:lang w:eastAsia="en-US"/>
        </w:rPr>
        <w:t>ku</w:t>
      </w:r>
      <w:r w:rsidRPr="007F761D">
        <w:rPr>
          <w:rFonts w:eastAsia="MS Mincho" w:cs="Arial"/>
          <w:bCs/>
          <w:lang w:eastAsia="en-US"/>
        </w:rPr>
        <w:t xml:space="preserve"> P21, </w:t>
      </w:r>
      <w:r>
        <w:rPr>
          <w:rFonts w:eastAsia="MS Mincho" w:cs="Arial"/>
          <w:bCs/>
          <w:lang w:eastAsia="en-US"/>
        </w:rPr>
        <w:t xml:space="preserve">a </w:t>
      </w:r>
      <w:r w:rsidRPr="007F761D">
        <w:rPr>
          <w:rFonts w:eastAsia="MS Mincho" w:cs="Arial"/>
          <w:bCs/>
          <w:lang w:eastAsia="en-US"/>
        </w:rPr>
        <w:t>n</w:t>
      </w:r>
      <w:r>
        <w:rPr>
          <w:rFonts w:eastAsia="MS Mincho" w:cs="Arial"/>
          <w:bCs/>
          <w:lang w:eastAsia="en-US"/>
        </w:rPr>
        <w:t>ávrhem</w:t>
      </w:r>
      <w:r w:rsidRPr="007F761D">
        <w:rPr>
          <w:rFonts w:eastAsia="MS Mincho" w:cs="Arial"/>
          <w:bCs/>
          <w:lang w:eastAsia="en-US"/>
        </w:rPr>
        <w:t xml:space="preserve"> propustk</w:t>
      </w:r>
      <w:r>
        <w:rPr>
          <w:rFonts w:eastAsia="MS Mincho" w:cs="Arial"/>
          <w:bCs/>
          <w:lang w:eastAsia="en-US"/>
        </w:rPr>
        <w:t>ů</w:t>
      </w:r>
      <w:r w:rsidRPr="007F761D">
        <w:rPr>
          <w:rFonts w:eastAsia="MS Mincho" w:cs="Arial"/>
          <w:bCs/>
          <w:lang w:eastAsia="en-US"/>
        </w:rPr>
        <w:t xml:space="preserve"> P49, P50, P51.</w:t>
      </w:r>
      <w:r>
        <w:rPr>
          <w:rFonts w:eastAsia="MS Mincho" w:cs="Arial"/>
          <w:bCs/>
          <w:lang w:eastAsia="en-US"/>
        </w:rPr>
        <w:t xml:space="preserve"> V trase polní cesty dojde ke k</w:t>
      </w:r>
      <w:r w:rsidRPr="003305EF">
        <w:rPr>
          <w:rFonts w:eastAsia="MS Mincho" w:cs="Arial"/>
          <w:bCs/>
          <w:lang w:eastAsia="en-US"/>
        </w:rPr>
        <w:t>řížení s podzemním sdělovacím vedením ve staničení cca 0,02 km</w:t>
      </w:r>
      <w:r>
        <w:rPr>
          <w:rFonts w:eastAsia="MS Mincho" w:cs="Arial"/>
          <w:bCs/>
          <w:lang w:eastAsia="en-US"/>
        </w:rPr>
        <w:t xml:space="preserve">, </w:t>
      </w:r>
      <w:r w:rsidRPr="003305EF">
        <w:rPr>
          <w:rFonts w:eastAsia="MS Mincho" w:cs="Arial"/>
          <w:bCs/>
          <w:lang w:eastAsia="en-US"/>
        </w:rPr>
        <w:t>s vodovodem ve staničení cca 0,04 km</w:t>
      </w:r>
      <w:r>
        <w:rPr>
          <w:rFonts w:eastAsia="MS Mincho" w:cs="Arial"/>
          <w:bCs/>
          <w:lang w:eastAsia="en-US"/>
        </w:rPr>
        <w:t xml:space="preserve">, </w:t>
      </w:r>
      <w:r w:rsidRPr="003305EF">
        <w:rPr>
          <w:rFonts w:eastAsia="MS Mincho" w:cs="Arial"/>
          <w:bCs/>
          <w:lang w:eastAsia="en-US"/>
        </w:rPr>
        <w:t>s podzemním vedením STL plynovodu ve staničení cca 0,05 km</w:t>
      </w:r>
      <w:r>
        <w:rPr>
          <w:rFonts w:eastAsia="MS Mincho" w:cs="Arial"/>
          <w:bCs/>
          <w:lang w:eastAsia="en-US"/>
        </w:rPr>
        <w:t xml:space="preserve"> a </w:t>
      </w:r>
      <w:r w:rsidRPr="003305EF">
        <w:rPr>
          <w:rFonts w:eastAsia="MS Mincho" w:cs="Arial"/>
          <w:bCs/>
          <w:lang w:eastAsia="en-US"/>
        </w:rPr>
        <w:t>s nadzemním el</w:t>
      </w:r>
      <w:r>
        <w:rPr>
          <w:rFonts w:eastAsia="MS Mincho" w:cs="Arial"/>
          <w:bCs/>
          <w:lang w:eastAsia="en-US"/>
        </w:rPr>
        <w:t>ektrickým</w:t>
      </w:r>
      <w:r w:rsidRPr="003305EF">
        <w:rPr>
          <w:rFonts w:eastAsia="MS Mincho" w:cs="Arial"/>
          <w:bCs/>
          <w:lang w:eastAsia="en-US"/>
        </w:rPr>
        <w:t xml:space="preserve"> vedením VN ve staničení cca 0,14 km.</w:t>
      </w:r>
      <w:r>
        <w:rPr>
          <w:rFonts w:eastAsia="MS Mincho" w:cs="Arial"/>
          <w:bCs/>
          <w:lang w:eastAsia="en-US"/>
        </w:rPr>
        <w:t xml:space="preserve"> </w:t>
      </w:r>
      <w:r w:rsidRPr="003305EF">
        <w:rPr>
          <w:rFonts w:eastAsia="MS Mincho" w:cs="Arial"/>
          <w:bCs/>
          <w:lang w:eastAsia="en-US"/>
        </w:rPr>
        <w:t>Trasa polní cesty prochází odvodněnými oblastmi (meliorace).</w:t>
      </w:r>
    </w:p>
    <w:p w14:paraId="6754C612" w14:textId="77777777" w:rsidR="00636741" w:rsidRPr="00006867" w:rsidRDefault="00636741" w:rsidP="00636741">
      <w:pPr>
        <w:autoSpaceDE w:val="0"/>
        <w:autoSpaceDN w:val="0"/>
        <w:adjustRightInd w:val="0"/>
        <w:spacing w:after="0"/>
        <w:ind w:left="1276"/>
        <w:jc w:val="both"/>
        <w:rPr>
          <w:rFonts w:eastAsia="MS Mincho" w:cs="Arial"/>
          <w:b/>
          <w:bCs/>
          <w:lang w:eastAsia="en-US"/>
        </w:rPr>
      </w:pPr>
    </w:p>
    <w:p w14:paraId="3A3F944E" w14:textId="77777777" w:rsidR="00636741" w:rsidRPr="00006867" w:rsidRDefault="00636741" w:rsidP="00636741">
      <w:pPr>
        <w:autoSpaceDE w:val="0"/>
        <w:autoSpaceDN w:val="0"/>
        <w:adjustRightInd w:val="0"/>
        <w:spacing w:after="0"/>
        <w:ind w:left="1276"/>
        <w:jc w:val="both"/>
        <w:rPr>
          <w:rFonts w:eastAsia="MS Mincho" w:cs="Arial"/>
          <w:b/>
          <w:bCs/>
          <w:lang w:eastAsia="en-US"/>
        </w:rPr>
      </w:pPr>
      <w:r w:rsidRPr="00006867">
        <w:rPr>
          <w:rFonts w:eastAsia="MS Mincho" w:cs="Arial"/>
          <w:b/>
          <w:bCs/>
          <w:lang w:eastAsia="en-US"/>
        </w:rPr>
        <w:t>SO 02</w:t>
      </w:r>
      <w:r>
        <w:rPr>
          <w:rFonts w:eastAsia="MS Mincho" w:cs="Arial"/>
          <w:b/>
          <w:bCs/>
          <w:lang w:eastAsia="en-US"/>
        </w:rPr>
        <w:t>, 03</w:t>
      </w:r>
      <w:r w:rsidRPr="00006867">
        <w:rPr>
          <w:rFonts w:eastAsia="MS Mincho" w:cs="Arial"/>
          <w:b/>
          <w:bCs/>
          <w:lang w:eastAsia="en-US"/>
        </w:rPr>
        <w:t xml:space="preserve"> – </w:t>
      </w:r>
      <w:r w:rsidRPr="00FE2839">
        <w:rPr>
          <w:rFonts w:eastAsia="MS Mincho" w:cs="Arial"/>
          <w:b/>
          <w:bCs/>
          <w:lang w:eastAsia="en-US"/>
        </w:rPr>
        <w:t>Interakční prvek IP1</w:t>
      </w:r>
      <w:r>
        <w:rPr>
          <w:rFonts w:eastAsia="MS Mincho" w:cs="Arial"/>
          <w:b/>
          <w:bCs/>
          <w:lang w:eastAsia="en-US"/>
        </w:rPr>
        <w:t>7, IP18</w:t>
      </w:r>
    </w:p>
    <w:p w14:paraId="3DAE2BA0" w14:textId="1C63EDED" w:rsidR="00636741" w:rsidRPr="00636741" w:rsidRDefault="00636741" w:rsidP="00636741">
      <w:pPr>
        <w:autoSpaceDE w:val="0"/>
        <w:autoSpaceDN w:val="0"/>
        <w:adjustRightInd w:val="0"/>
        <w:spacing w:after="0"/>
        <w:ind w:left="1276"/>
        <w:jc w:val="both"/>
        <w:rPr>
          <w:rStyle w:val="l-L2Char"/>
          <w:rFonts w:eastAsia="MS Mincho" w:cs="Arial"/>
          <w:bCs/>
          <w:lang w:eastAsia="en-US"/>
        </w:rPr>
      </w:pPr>
      <w:r w:rsidRPr="00FE2839">
        <w:rPr>
          <w:rFonts w:eastAsia="MS Mincho" w:cs="Arial"/>
          <w:bCs/>
          <w:lang w:eastAsia="en-US"/>
        </w:rPr>
        <w:t>Podél polní cesty je navržena výsadba liniových interakčních prvků IP17</w:t>
      </w:r>
      <w:r>
        <w:rPr>
          <w:rFonts w:eastAsia="MS Mincho" w:cs="Arial"/>
          <w:bCs/>
          <w:lang w:eastAsia="en-US"/>
        </w:rPr>
        <w:t xml:space="preserve"> </w:t>
      </w:r>
      <w:r w:rsidRPr="00FE2839">
        <w:rPr>
          <w:rFonts w:eastAsia="MS Mincho" w:cs="Arial"/>
          <w:bCs/>
          <w:lang w:eastAsia="en-US"/>
        </w:rPr>
        <w:t>a IP18 (aleje).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73223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</w:t>
      </w:r>
      <w:r w:rsidRPr="00B73223">
        <w:rPr>
          <w:rStyle w:val="l-L2Char"/>
          <w:rFonts w:cs="Arial"/>
          <w:b w:val="0"/>
          <w:szCs w:val="22"/>
          <w:u w:val="none"/>
        </w:rPr>
        <w:t xml:space="preserve">kvalitnímu provedení </w:t>
      </w:r>
      <w:r w:rsidR="0076588D" w:rsidRPr="00B73223">
        <w:rPr>
          <w:rStyle w:val="l-L2Char"/>
          <w:rFonts w:cs="Arial"/>
          <w:b w:val="0"/>
          <w:szCs w:val="22"/>
          <w:u w:val="none"/>
        </w:rPr>
        <w:t>D</w:t>
      </w:r>
      <w:r w:rsidRPr="00B73223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B343D54" w:rsidR="00722CA2" w:rsidRPr="00B73223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B73223">
        <w:rPr>
          <w:rStyle w:val="l-L2Char"/>
          <w:rFonts w:cs="Arial"/>
          <w:szCs w:val="22"/>
        </w:rPr>
        <w:t>Projektová dokumentace</w:t>
      </w:r>
      <w:r w:rsidR="00722CA2" w:rsidRPr="00B73223">
        <w:rPr>
          <w:rStyle w:val="l-L2Char"/>
          <w:rFonts w:cs="Arial"/>
          <w:szCs w:val="22"/>
        </w:rPr>
        <w:t xml:space="preserve"> bude dodán</w:t>
      </w:r>
      <w:r w:rsidRPr="00B73223">
        <w:rPr>
          <w:rStyle w:val="l-L2Char"/>
          <w:rFonts w:cs="Arial"/>
          <w:szCs w:val="22"/>
        </w:rPr>
        <w:t>a</w:t>
      </w:r>
      <w:r w:rsidR="00722CA2" w:rsidRPr="00B73223">
        <w:rPr>
          <w:rStyle w:val="l-L2Char"/>
          <w:rFonts w:cs="Arial"/>
          <w:szCs w:val="22"/>
        </w:rPr>
        <w:t xml:space="preserve"> objednateli v</w:t>
      </w:r>
      <w:r w:rsidR="00722CA2" w:rsidRPr="00B73223">
        <w:rPr>
          <w:rStyle w:val="l-L2Char"/>
          <w:rFonts w:cs="Arial"/>
          <w:szCs w:val="22"/>
          <w:lang w:eastAsia="en-US"/>
        </w:rPr>
        <w:t xml:space="preserve"> </w:t>
      </w:r>
      <w:r w:rsidR="00722CA2" w:rsidRPr="00B73223">
        <w:rPr>
          <w:rStyle w:val="l-L2Char"/>
          <w:rFonts w:cs="Arial"/>
          <w:szCs w:val="22"/>
        </w:rPr>
        <w:t>6</w:t>
      </w:r>
      <w:r w:rsidR="00722CA2" w:rsidRPr="00B73223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73223">
        <w:rPr>
          <w:rStyle w:val="l-L2Char"/>
          <w:rFonts w:cs="Arial"/>
          <w:szCs w:val="22"/>
        </w:rPr>
        <w:t xml:space="preserve"> v</w:t>
      </w:r>
      <w:r w:rsidR="00722CA2" w:rsidRPr="00B73223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73223">
        <w:rPr>
          <w:rStyle w:val="l-L2Char"/>
          <w:rFonts w:cs="Arial"/>
          <w:szCs w:val="22"/>
        </w:rPr>
        <w:t xml:space="preserve"> podobě </w:t>
      </w:r>
      <w:r w:rsidR="00722CA2" w:rsidRPr="00B73223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73223">
        <w:rPr>
          <w:rStyle w:val="l-L2Char"/>
          <w:rFonts w:cs="Arial"/>
          <w:szCs w:val="22"/>
        </w:rPr>
        <w:t>na CD ve formátu „</w:t>
      </w:r>
      <w:proofErr w:type="spellStart"/>
      <w:r w:rsidR="00722CA2" w:rsidRPr="00B73223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73223">
        <w:rPr>
          <w:rStyle w:val="l-L2Char"/>
          <w:rFonts w:cs="Arial"/>
          <w:szCs w:val="22"/>
          <w:lang w:eastAsia="en-US"/>
        </w:rPr>
        <w:t>“</w:t>
      </w:r>
      <w:r w:rsidR="00B70B1E" w:rsidRPr="00B73223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73223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73223">
        <w:rPr>
          <w:rStyle w:val="l-L2Char"/>
          <w:rFonts w:cs="Arial"/>
          <w:szCs w:val="22"/>
        </w:rPr>
        <w:t>“</w:t>
      </w:r>
      <w:r w:rsidR="00722CA2" w:rsidRPr="00B73223">
        <w:rPr>
          <w:rStyle w:val="l-L2Char"/>
          <w:rFonts w:cs="Arial"/>
          <w:szCs w:val="22"/>
        </w:rPr>
        <w:t xml:space="preserve"> </w:t>
      </w:r>
      <w:r w:rsidR="00A5565A" w:rsidRPr="00B73223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B73223">
        <w:rPr>
          <w:rStyle w:val="l-L2Char"/>
          <w:rFonts w:cs="Arial"/>
          <w:szCs w:val="22"/>
        </w:rPr>
        <w:t>unixml</w:t>
      </w:r>
      <w:proofErr w:type="spellEnd"/>
      <w:r w:rsidR="00A5565A" w:rsidRPr="00B73223">
        <w:rPr>
          <w:rStyle w:val="l-L2Char"/>
          <w:rFonts w:cs="Arial"/>
          <w:szCs w:val="22"/>
        </w:rPr>
        <w:t xml:space="preserve">“ (specifikace na </w:t>
      </w:r>
      <w:hyperlink r:id="rId17" w:history="1">
        <w:r w:rsidR="00C0053E" w:rsidRPr="00B73223">
          <w:rPr>
            <w:rStyle w:val="Hypertextovodkaz"/>
            <w:rFonts w:cs="Arial"/>
            <w:szCs w:val="22"/>
          </w:rPr>
          <w:t>www.unixml.cz</w:t>
        </w:r>
      </w:hyperlink>
      <w:r w:rsidR="00A5565A" w:rsidRPr="00B73223">
        <w:rPr>
          <w:rStyle w:val="l-L2Char"/>
          <w:rFonts w:cs="Arial"/>
          <w:szCs w:val="22"/>
        </w:rPr>
        <w:t>)</w:t>
      </w:r>
      <w:r w:rsidR="00C0053E" w:rsidRPr="00B73223">
        <w:rPr>
          <w:rStyle w:val="l-L2Char"/>
          <w:rFonts w:cs="Arial"/>
          <w:szCs w:val="22"/>
        </w:rPr>
        <w:t xml:space="preserve">. Rozpočet bude proveden </w:t>
      </w:r>
      <w:r w:rsidR="00722CA2" w:rsidRPr="00B73223">
        <w:rPr>
          <w:rStyle w:val="l-L2Char"/>
          <w:rFonts w:cs="Arial"/>
          <w:szCs w:val="22"/>
        </w:rPr>
        <w:t xml:space="preserve">pro </w:t>
      </w:r>
      <w:r w:rsidR="00C0053E" w:rsidRPr="00B73223">
        <w:rPr>
          <w:rStyle w:val="l-L2Char"/>
          <w:rFonts w:cs="Arial"/>
          <w:szCs w:val="22"/>
        </w:rPr>
        <w:t>každý stavební objekt</w:t>
      </w:r>
      <w:r w:rsidR="00722CA2" w:rsidRPr="00B73223">
        <w:rPr>
          <w:rStyle w:val="l-L2Char"/>
          <w:rFonts w:cs="Arial"/>
          <w:szCs w:val="22"/>
        </w:rPr>
        <w:t xml:space="preserve"> zvlášť</w:t>
      </w:r>
      <w:r w:rsidR="00C0053E" w:rsidRPr="00B73223">
        <w:rPr>
          <w:rStyle w:val="l-L2Char"/>
          <w:rFonts w:cs="Arial"/>
          <w:szCs w:val="22"/>
        </w:rPr>
        <w:t>, rozpočet stavebních objektů SO 02 a SO 03 bude dále dělen na v</w:t>
      </w:r>
      <w:r w:rsidR="00E31FCE" w:rsidRPr="00B73223">
        <w:rPr>
          <w:rStyle w:val="l-L2Char"/>
          <w:rFonts w:cs="Arial"/>
          <w:szCs w:val="22"/>
        </w:rPr>
        <w:t>l</w:t>
      </w:r>
      <w:r w:rsidR="00C0053E" w:rsidRPr="00B73223">
        <w:rPr>
          <w:rStyle w:val="l-L2Char"/>
          <w:rFonts w:cs="Arial"/>
          <w:szCs w:val="22"/>
        </w:rPr>
        <w:t>astní výsadbu a následnou péči.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lastRenderedPageBreak/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08901E9" w14:textId="77777777" w:rsidR="00636741" w:rsidRPr="00AA0530" w:rsidRDefault="00636741" w:rsidP="006367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7F17FC7E" w14:textId="170FE535" w:rsidR="00F829EA" w:rsidRPr="004D5F78" w:rsidRDefault="00F829E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06B3D78" w14:textId="77777777" w:rsidR="00636741" w:rsidRPr="00006867" w:rsidRDefault="00636741" w:rsidP="00636741">
      <w:pPr>
        <w:spacing w:before="60" w:after="60"/>
        <w:ind w:left="1276"/>
        <w:jc w:val="both"/>
        <w:rPr>
          <w:rFonts w:ascii="Calibri" w:eastAsia="MS Mincho" w:hAnsi="Calibri"/>
          <w:lang w:eastAsia="en-US"/>
        </w:rPr>
      </w:pPr>
      <w:bookmarkStart w:id="14" w:name="_Hlk15891094"/>
      <w:bookmarkStart w:id="15" w:name="_Hlk35258139"/>
      <w:r w:rsidRPr="00006867">
        <w:rPr>
          <w:rFonts w:eastAsia="MS Mincho" w:cs="Arial"/>
          <w:szCs w:val="20"/>
          <w:lang w:eastAsia="en-US"/>
        </w:rPr>
        <w:t>Podkladem pro vypracování projektové dokumentace je plán společných zařízení v katastrální</w:t>
      </w:r>
      <w:r>
        <w:rPr>
          <w:rFonts w:eastAsia="MS Mincho" w:cs="Arial"/>
          <w:szCs w:val="20"/>
          <w:lang w:eastAsia="en-US"/>
        </w:rPr>
        <w:t>m</w:t>
      </w:r>
      <w:r w:rsidRPr="00006867">
        <w:rPr>
          <w:rFonts w:eastAsia="MS Mincho" w:cs="Arial"/>
          <w:szCs w:val="20"/>
          <w:lang w:eastAsia="en-US"/>
        </w:rPr>
        <w:t xml:space="preserve"> území</w:t>
      </w:r>
      <w:r>
        <w:rPr>
          <w:rFonts w:eastAsia="MS Mincho" w:cs="Arial"/>
          <w:szCs w:val="20"/>
          <w:lang w:eastAsia="en-US"/>
        </w:rPr>
        <w:t xml:space="preserve"> Litenčice </w:t>
      </w:r>
      <w:r w:rsidRPr="00006867">
        <w:rPr>
          <w:rFonts w:eastAsia="MS Mincho" w:cs="Arial"/>
          <w:szCs w:val="20"/>
          <w:lang w:eastAsia="en-US"/>
        </w:rPr>
        <w:t>a dokumentace technického řešení PSZ, které v roce 201</w:t>
      </w:r>
      <w:r>
        <w:rPr>
          <w:rFonts w:eastAsia="MS Mincho" w:cs="Arial"/>
          <w:szCs w:val="20"/>
          <w:lang w:eastAsia="en-US"/>
        </w:rPr>
        <w:t>6</w:t>
      </w:r>
      <w:r w:rsidRPr="00006867">
        <w:rPr>
          <w:rFonts w:eastAsia="MS Mincho" w:cs="Arial"/>
          <w:szCs w:val="20"/>
          <w:lang w:eastAsia="en-US"/>
        </w:rPr>
        <w:t xml:space="preserve"> vypracovala projekční společnost </w:t>
      </w:r>
      <w:bookmarkStart w:id="16" w:name="_Hlk15891840"/>
      <w:bookmarkEnd w:id="14"/>
      <w:r>
        <w:rPr>
          <w:rFonts w:eastAsia="MS Mincho" w:cs="Arial"/>
          <w:szCs w:val="20"/>
          <w:lang w:eastAsia="en-US"/>
        </w:rPr>
        <w:t>GEOCENTRUM, spol. s r.o., zeměměřická a projekční kancelář, tř. Kosmonautů 1143/</w:t>
      </w:r>
      <w:proofErr w:type="gramStart"/>
      <w:r>
        <w:rPr>
          <w:rFonts w:eastAsia="MS Mincho" w:cs="Arial"/>
          <w:szCs w:val="20"/>
          <w:lang w:eastAsia="en-US"/>
        </w:rPr>
        <w:t>8B</w:t>
      </w:r>
      <w:proofErr w:type="gramEnd"/>
      <w:r>
        <w:rPr>
          <w:rFonts w:eastAsia="MS Mincho" w:cs="Arial"/>
          <w:szCs w:val="20"/>
          <w:lang w:eastAsia="en-US"/>
        </w:rPr>
        <w:t>, 779 00 Olomouc</w:t>
      </w:r>
      <w:r w:rsidRPr="00006867">
        <w:rPr>
          <w:rFonts w:eastAsia="MS Mincho" w:cs="Arial"/>
          <w:szCs w:val="20"/>
          <w:lang w:eastAsia="en-US"/>
        </w:rPr>
        <w:t xml:space="preserve">. </w:t>
      </w:r>
      <w:bookmarkEnd w:id="15"/>
      <w:r w:rsidRPr="00006867">
        <w:rPr>
          <w:rFonts w:eastAsia="MS Mincho" w:cs="Arial"/>
          <w:szCs w:val="20"/>
          <w:lang w:eastAsia="en-US"/>
        </w:rPr>
        <w:t xml:space="preserve">Uvedené podklady jsou po dohodě k nahlédnutí v sídle Pobočky </w:t>
      </w:r>
      <w:r>
        <w:rPr>
          <w:rFonts w:eastAsia="MS Mincho" w:cs="Arial"/>
          <w:szCs w:val="20"/>
          <w:lang w:eastAsia="en-US"/>
        </w:rPr>
        <w:t>Kroměříž</w:t>
      </w:r>
      <w:r w:rsidRPr="00006867">
        <w:rPr>
          <w:rFonts w:eastAsia="MS Mincho" w:cs="Arial"/>
          <w:szCs w:val="20"/>
          <w:lang w:eastAsia="en-US"/>
        </w:rPr>
        <w:t xml:space="preserve">, </w:t>
      </w:r>
      <w:r w:rsidRPr="00D918AD">
        <w:rPr>
          <w:rFonts w:eastAsia="MS Mincho" w:cs="Arial"/>
          <w:szCs w:val="20"/>
          <w:lang w:eastAsia="en-US"/>
        </w:rPr>
        <w:t>Riegrovo nám. 3228/22, 767</w:t>
      </w:r>
      <w:r>
        <w:rPr>
          <w:rFonts w:eastAsia="MS Mincho" w:cs="Arial"/>
          <w:szCs w:val="20"/>
          <w:lang w:eastAsia="en-US"/>
        </w:rPr>
        <w:t xml:space="preserve"> </w:t>
      </w:r>
      <w:r w:rsidRPr="00D918AD">
        <w:rPr>
          <w:rFonts w:eastAsia="MS Mincho" w:cs="Arial"/>
          <w:szCs w:val="20"/>
          <w:lang w:eastAsia="en-US"/>
        </w:rPr>
        <w:t>01</w:t>
      </w:r>
      <w:r>
        <w:rPr>
          <w:rFonts w:eastAsia="MS Mincho" w:cs="Arial"/>
          <w:szCs w:val="20"/>
          <w:lang w:eastAsia="en-US"/>
        </w:rPr>
        <w:t xml:space="preserve"> </w:t>
      </w:r>
      <w:r w:rsidRPr="00D918AD">
        <w:rPr>
          <w:rFonts w:eastAsia="MS Mincho" w:cs="Arial"/>
          <w:szCs w:val="20"/>
          <w:lang w:eastAsia="en-US"/>
        </w:rPr>
        <w:t>Kroměříž</w:t>
      </w:r>
      <w:r>
        <w:rPr>
          <w:rFonts w:eastAsia="MS Mincho" w:cs="Arial"/>
          <w:szCs w:val="20"/>
          <w:lang w:eastAsia="en-US"/>
        </w:rPr>
        <w:t>.</w:t>
      </w:r>
    </w:p>
    <w:bookmarkEnd w:id="16"/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3FBA746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646731CD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04C871DE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59EF47F5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1902AF2A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72D8020B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3CAE926A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2B5BCC61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06EE7043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5F599A74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5F995E36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3FB8152E" w14:textId="0B87461C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19C026BF" w:rsidR="00E34283" w:rsidRDefault="000A3C0D" w:rsidP="00BA7EF2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7F58E5">
      <w:pPr>
        <w:widowControl w:val="0"/>
        <w:suppressAutoHyphens/>
        <w:spacing w:after="0" w:line="276" w:lineRule="auto"/>
        <w:jc w:val="both"/>
        <w:rPr>
          <w:rFonts w:eastAsia="Lucida Sans Unicode" w:cs="Arial"/>
          <w:b/>
          <w:bCs/>
          <w:szCs w:val="22"/>
        </w:rPr>
      </w:pPr>
      <w:r w:rsidRPr="007F58E5">
        <w:rPr>
          <w:rFonts w:eastAsia="Lucida Sans Unicode" w:cs="Arial"/>
          <w:b/>
          <w:bCs/>
          <w:szCs w:val="22"/>
        </w:rPr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5B239300" w14:textId="77777777" w:rsidR="007F58E5" w:rsidRPr="001C16F7" w:rsidRDefault="007F58E5" w:rsidP="007F58E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ECB48C7" w14:textId="77777777" w:rsidR="007F58E5" w:rsidRPr="001C16F7" w:rsidRDefault="007F58E5" w:rsidP="007F58E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Zlínský kraj</w:t>
      </w:r>
    </w:p>
    <w:p w14:paraId="57B3FC11" w14:textId="77777777" w:rsidR="007F58E5" w:rsidRPr="001C16F7" w:rsidRDefault="007F58E5" w:rsidP="007F58E5">
      <w:pPr>
        <w:spacing w:after="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2EDA0918" w14:textId="77777777" w:rsidR="007F58E5" w:rsidRPr="001C16F7" w:rsidRDefault="007F58E5" w:rsidP="007F58E5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>
        <w:rPr>
          <w:rFonts w:cs="Arial"/>
          <w:szCs w:val="22"/>
        </w:rPr>
        <w:t>Zarámí</w:t>
      </w:r>
      <w:proofErr w:type="spellEnd"/>
      <w:r>
        <w:rPr>
          <w:rFonts w:cs="Arial"/>
          <w:szCs w:val="22"/>
        </w:rPr>
        <w:t xml:space="preserve"> 88, 760 41 Zlín</w:t>
      </w:r>
    </w:p>
    <w:p w14:paraId="7D9BAD4A" w14:textId="77777777" w:rsidR="007F58E5" w:rsidRDefault="007F58E5" w:rsidP="007F58E5">
      <w:pPr>
        <w:spacing w:after="0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>Ing. Mladou Augustinovou, ředitelkou KPÚ pro Zlínský kraj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092363DE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>k zastupování ČR - Státního pozemkového úřadu, tj. k veškerým právním úkonům směřujícím k získání povolení stavebního úřadu na stavbu</w:t>
      </w:r>
      <w:r w:rsidR="007F58E5">
        <w:rPr>
          <w:rFonts w:cs="Arial"/>
          <w:szCs w:val="22"/>
        </w:rPr>
        <w:t xml:space="preserve"> „</w:t>
      </w:r>
      <w:r w:rsidR="007F58E5" w:rsidRPr="00E86086">
        <w:rPr>
          <w:rStyle w:val="l-L2Char"/>
          <w:rFonts w:cs="Arial"/>
          <w:bCs/>
          <w:szCs w:val="22"/>
        </w:rPr>
        <w:t xml:space="preserve">Hlavní polní cesta HC1 a interakční prvky IP17, IP18 v k. </w:t>
      </w:r>
      <w:proofErr w:type="spellStart"/>
      <w:r w:rsidR="007F58E5" w:rsidRPr="00E86086">
        <w:rPr>
          <w:rStyle w:val="l-L2Char"/>
          <w:rFonts w:cs="Arial"/>
          <w:bCs/>
          <w:szCs w:val="22"/>
        </w:rPr>
        <w:t>ú.</w:t>
      </w:r>
      <w:proofErr w:type="spellEnd"/>
      <w:r w:rsidR="007F58E5" w:rsidRPr="00E86086">
        <w:rPr>
          <w:rStyle w:val="l-L2Char"/>
          <w:rFonts w:cs="Arial"/>
          <w:bCs/>
          <w:szCs w:val="22"/>
        </w:rPr>
        <w:t xml:space="preserve"> Litenčice</w:t>
      </w:r>
      <w:r w:rsidR="007F58E5">
        <w:rPr>
          <w:rStyle w:val="l-L2Char"/>
          <w:rFonts w:cs="Arial"/>
          <w:bCs/>
          <w:szCs w:val="22"/>
        </w:rPr>
        <w:t>“</w:t>
      </w:r>
      <w:r w:rsidR="007F58E5" w:rsidRPr="001C16F7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</w:t>
      </w:r>
      <w:r w:rsidR="007F58E5">
        <w:rPr>
          <w:rFonts w:cs="Arial"/>
          <w:szCs w:val="22"/>
        </w:rPr>
        <w:t> </w:t>
      </w:r>
      <w:r w:rsidRPr="001C16F7">
        <w:rPr>
          <w:rFonts w:cs="Arial"/>
          <w:szCs w:val="22"/>
        </w:rPr>
        <w:t>rozsahu</w:t>
      </w:r>
      <w:r w:rsidR="007F58E5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>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7" w:name="_Hlk19542743"/>
      <w:r w:rsidRPr="001C16F7">
        <w:rPr>
          <w:rFonts w:cs="Arial"/>
          <w:szCs w:val="22"/>
        </w:rPr>
        <w:t>;</w:t>
      </w:r>
      <w:bookmarkEnd w:id="17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10153EF3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EE6468">
        <w:rPr>
          <w:rFonts w:cs="Arial"/>
          <w:szCs w:val="22"/>
        </w:rPr>
        <w:t xml:space="preserve">e Zlíně </w:t>
      </w:r>
      <w:proofErr w:type="gramStart"/>
      <w:r w:rsidRPr="001C16F7">
        <w:rPr>
          <w:rFonts w:cs="Arial"/>
          <w:szCs w:val="22"/>
        </w:rPr>
        <w:t xml:space="preserve">dne  </w:t>
      </w:r>
      <w:r w:rsidR="00EE6468">
        <w:rPr>
          <w:rFonts w:cs="Arial"/>
          <w:szCs w:val="22"/>
        </w:rPr>
        <w:t>…</w:t>
      </w:r>
      <w:proofErr w:type="gramEnd"/>
      <w:r w:rsidR="00EE6468">
        <w:rPr>
          <w:rFonts w:cs="Arial"/>
          <w:szCs w:val="22"/>
        </w:rPr>
        <w:t>…………..</w:t>
      </w:r>
      <w:r w:rsidRPr="001C16F7">
        <w:rPr>
          <w:rFonts w:cs="Arial"/>
          <w:szCs w:val="22"/>
        </w:rPr>
        <w:t xml:space="preserve">     </w:t>
      </w:r>
    </w:p>
    <w:p w14:paraId="316A304E" w14:textId="2D984B51" w:rsidR="004D687E" w:rsidRDefault="004D687E" w:rsidP="004D687E">
      <w:pPr>
        <w:ind w:right="70"/>
        <w:jc w:val="both"/>
        <w:rPr>
          <w:rFonts w:cs="Arial"/>
          <w:szCs w:val="22"/>
        </w:rPr>
      </w:pPr>
    </w:p>
    <w:p w14:paraId="468E38AB" w14:textId="5920D495" w:rsidR="00EE6468" w:rsidRDefault="00EE6468" w:rsidP="004D687E">
      <w:pPr>
        <w:ind w:right="70"/>
        <w:jc w:val="both"/>
        <w:rPr>
          <w:rFonts w:cs="Arial"/>
          <w:szCs w:val="22"/>
        </w:rPr>
      </w:pPr>
    </w:p>
    <w:p w14:paraId="5B883783" w14:textId="13C67F33" w:rsidR="00EE6468" w:rsidRDefault="00EE6468" w:rsidP="004D687E">
      <w:pPr>
        <w:ind w:right="70"/>
        <w:jc w:val="both"/>
        <w:rPr>
          <w:rFonts w:cs="Arial"/>
          <w:szCs w:val="22"/>
        </w:rPr>
      </w:pPr>
    </w:p>
    <w:p w14:paraId="0C1E237A" w14:textId="77777777" w:rsidR="00EE6468" w:rsidRPr="001C16F7" w:rsidRDefault="00EE6468" w:rsidP="004D687E">
      <w:pPr>
        <w:ind w:right="70"/>
        <w:jc w:val="both"/>
        <w:rPr>
          <w:rFonts w:cs="Arial"/>
          <w:szCs w:val="22"/>
        </w:rPr>
      </w:pPr>
    </w:p>
    <w:p w14:paraId="51CBEDF6" w14:textId="4BA254B4" w:rsidR="004D687E" w:rsidRPr="001C16F7" w:rsidRDefault="00EE6468" w:rsidP="004D687E">
      <w:pPr>
        <w:ind w:right="70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</w:t>
      </w:r>
    </w:p>
    <w:p w14:paraId="44791A7F" w14:textId="77777777" w:rsidR="00EE6468" w:rsidRPr="00EE6468" w:rsidRDefault="00EE6468" w:rsidP="00EE6468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EE6468">
        <w:rPr>
          <w:rFonts w:ascii="Arial" w:hAnsi="Arial" w:cs="Arial"/>
          <w:sz w:val="22"/>
          <w:szCs w:val="22"/>
        </w:rPr>
        <w:t>republika - Státní</w:t>
      </w:r>
      <w:proofErr w:type="gramEnd"/>
      <w:r w:rsidRPr="00EE6468">
        <w:rPr>
          <w:rFonts w:ascii="Arial" w:hAnsi="Arial" w:cs="Arial"/>
          <w:sz w:val="22"/>
          <w:szCs w:val="22"/>
        </w:rPr>
        <w:t xml:space="preserve"> pozemkový úřad</w:t>
      </w:r>
    </w:p>
    <w:p w14:paraId="74FA64CB" w14:textId="77777777" w:rsidR="00EE6468" w:rsidRPr="00EE6468" w:rsidRDefault="00EE6468" w:rsidP="00EE6468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Krajský pozemkový úřad pro Zlínský kraj</w:t>
      </w:r>
    </w:p>
    <w:p w14:paraId="44F9C26C" w14:textId="77777777" w:rsidR="00EE6468" w:rsidRPr="00EE6468" w:rsidRDefault="00EE6468" w:rsidP="00EE6468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Ing. Mlada Augustinová</w:t>
      </w:r>
    </w:p>
    <w:p w14:paraId="553A875D" w14:textId="3CA47AAF" w:rsidR="004D687E" w:rsidRPr="00EE6468" w:rsidRDefault="00EE6468" w:rsidP="00EE6468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ředitelka</w:t>
      </w:r>
    </w:p>
    <w:p w14:paraId="7C9A8D05" w14:textId="77777777" w:rsidR="00EE6468" w:rsidRPr="00EE6468" w:rsidRDefault="00EE6468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160FB205" w14:textId="77777777" w:rsidR="00EE6468" w:rsidRDefault="00EE6468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265925F2" w14:textId="77777777" w:rsidR="00EE6468" w:rsidRDefault="00EE6468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4834D21F" w14:textId="77777777" w:rsidR="00EE6468" w:rsidRDefault="00EE6468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666FCBA2" w14:textId="77777777" w:rsidR="00EE6468" w:rsidRDefault="00EE6468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4167E2CA" w14:textId="2D6DC01C" w:rsidR="004D687E" w:rsidRPr="00EE6468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CF30D" w14:textId="77777777" w:rsidR="00AA185D" w:rsidRDefault="00AA185D">
      <w:r>
        <w:separator/>
      </w:r>
    </w:p>
  </w:endnote>
  <w:endnote w:type="continuationSeparator" w:id="0">
    <w:p w14:paraId="7ED4A620" w14:textId="77777777" w:rsidR="00AA185D" w:rsidRDefault="00AA185D">
      <w:r>
        <w:continuationSeparator/>
      </w:r>
    </w:p>
  </w:endnote>
  <w:endnote w:type="continuationNotice" w:id="1">
    <w:p w14:paraId="03FBB850" w14:textId="77777777" w:rsidR="00AA185D" w:rsidRDefault="00AA185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44836" w:rsidRDefault="00D448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44836" w:rsidRDefault="00D448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D44836" w:rsidRDefault="00D448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44836" w:rsidRDefault="00D44836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D44836" w:rsidRDefault="00D44836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55B2B" w14:textId="77777777" w:rsidR="00AA185D" w:rsidRDefault="00AA185D">
      <w:r>
        <w:separator/>
      </w:r>
    </w:p>
  </w:footnote>
  <w:footnote w:type="continuationSeparator" w:id="0">
    <w:p w14:paraId="7F6A9819" w14:textId="77777777" w:rsidR="00AA185D" w:rsidRDefault="00AA185D">
      <w:r>
        <w:continuationSeparator/>
      </w:r>
    </w:p>
  </w:footnote>
  <w:footnote w:type="continuationNotice" w:id="1">
    <w:p w14:paraId="0F2EB757" w14:textId="77777777" w:rsidR="00AA185D" w:rsidRDefault="00AA185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D44836" w:rsidRPr="0015467D" w:rsidRDefault="00D44836" w:rsidP="00753642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D44836" w:rsidRPr="00B16ADC" w:rsidRDefault="00D44836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D44836" w:rsidRPr="0047679A" w:rsidRDefault="00D44836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E0065BB"/>
    <w:multiLevelType w:val="multilevel"/>
    <w:tmpl w:val="0B9CE18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26BB"/>
    <w:rsid w:val="000E3F19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3DF6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447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433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1FAC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3E50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06D4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741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3194"/>
    <w:rsid w:val="00743455"/>
    <w:rsid w:val="00743B00"/>
    <w:rsid w:val="00746206"/>
    <w:rsid w:val="00750233"/>
    <w:rsid w:val="00751679"/>
    <w:rsid w:val="00753642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083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8E5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0551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0ED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408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478D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2E86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7D26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185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7F28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4234"/>
    <w:rsid w:val="00B6547F"/>
    <w:rsid w:val="00B65FFB"/>
    <w:rsid w:val="00B70B1E"/>
    <w:rsid w:val="00B729EE"/>
    <w:rsid w:val="00B73223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7EF2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53E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E65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07FE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17CA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2A42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1FCE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1FFE"/>
    <w:rsid w:val="00E6295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086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468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0F1C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7D2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7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6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unixml.cz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198C3F78-07C5-4BF0-A886-714DC160665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B4104E2-C56C-4207-87E5-D01E0B64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18</Pages>
  <Words>5403</Words>
  <Characters>31579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Košutová Lada</cp:lastModifiedBy>
  <cp:revision>37</cp:revision>
  <cp:lastPrinted>2019-08-15T11:56:00Z</cp:lastPrinted>
  <dcterms:created xsi:type="dcterms:W3CDTF">2020-05-14T07:45:00Z</dcterms:created>
  <dcterms:modified xsi:type="dcterms:W3CDTF">2021-01-28T09:05:00Z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