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r w:rsidR="00232467" w:rsidRPr="00232467">
        <w:rPr>
          <w:rFonts w:ascii="Arial" w:hAnsi="Arial" w:cs="Arial"/>
          <w:b/>
          <w:snapToGrid w:val="0"/>
          <w:u w:val="single"/>
        </w:rPr>
        <w:t>xx</w:t>
      </w:r>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713DB3"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713DB3" w:rsidRPr="003C32EC">
        <w:rPr>
          <w:rFonts w:ascii="Arial" w:hAnsi="Arial" w:cs="Arial"/>
          <w:b/>
          <w:bCs/>
          <w:snapToGrid w:val="0"/>
        </w:rPr>
      </w:r>
      <w:r w:rsidR="00713DB3"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713DB3"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proofErr w:type="gramStart"/>
      <w:r w:rsidRPr="003C32EC">
        <w:rPr>
          <w:rFonts w:ascii="Arial" w:hAnsi="Arial" w:cs="Arial"/>
          <w:b/>
          <w:bCs/>
          <w:snapToGrid w:val="0"/>
          <w:sz w:val="28"/>
          <w:szCs w:val="28"/>
        </w:rPr>
        <w:t>S M L O U V A   O   D Í L O</w:t>
      </w:r>
      <w:proofErr w:type="gramEnd"/>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násl. zákona č. 513/1991 Sb., obchodního zákoníku, ve znění pozd.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713DB3"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713DB3" w:rsidRPr="00232467">
        <w:rPr>
          <w:rFonts w:ascii="Arial" w:hAnsi="Arial" w:cs="Arial"/>
          <w:b/>
          <w:sz w:val="22"/>
          <w:szCs w:val="22"/>
        </w:rPr>
      </w:r>
      <w:r w:rsidR="00713DB3"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713DB3"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r w:rsidRPr="003C32EC">
        <w:rPr>
          <w:rFonts w:ascii="Arial" w:hAnsi="Arial" w:cs="Arial"/>
        </w:rPr>
        <w:tab/>
        <w:t>/ +420 </w:t>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r w:rsidRPr="003C32EC">
        <w:rPr>
          <w:rFonts w:ascii="Arial" w:hAnsi="Arial" w:cs="Arial"/>
        </w:rPr>
        <w:tab/>
        <w:t>/ +420 </w:t>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713DB3"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713DB3"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713DB3"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713DB3" w:rsidRPr="003C32EC">
        <w:rPr>
          <w:rFonts w:ascii="Arial" w:hAnsi="Arial" w:cs="Arial"/>
        </w:rPr>
        <w:fldChar w:fldCharType="end"/>
      </w:r>
      <w:r w:rsidRPr="003C32EC">
        <w:rPr>
          <w:rFonts w:ascii="Arial" w:hAnsi="Arial" w:cs="Arial"/>
        </w:rPr>
        <w:t xml:space="preserve">, oddíl </w:t>
      </w:r>
      <w:r w:rsidR="00713DB3"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713DB3" w:rsidRPr="003C32EC">
        <w:rPr>
          <w:rFonts w:ascii="Arial" w:hAnsi="Arial" w:cs="Arial"/>
        </w:rPr>
        <w:fldChar w:fldCharType="end"/>
      </w:r>
      <w:r w:rsidRPr="003C32EC">
        <w:rPr>
          <w:rFonts w:ascii="Arial" w:hAnsi="Arial" w:cs="Arial"/>
        </w:rPr>
        <w:t xml:space="preserve">, vložka </w:t>
      </w:r>
      <w:r w:rsidR="00713DB3"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713DB3" w:rsidRPr="003C32EC">
        <w:rPr>
          <w:rFonts w:ascii="Arial" w:hAnsi="Arial" w:cs="Arial"/>
        </w:rPr>
      </w:r>
      <w:r w:rsidR="00713DB3"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713DB3"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r w:rsidR="00492757" w:rsidRPr="00492757">
        <w:rPr>
          <w:rFonts w:ascii="Arial" w:hAnsi="Arial" w:cs="Arial"/>
          <w:b/>
          <w:snapToGrid w:val="0"/>
          <w:highlight w:val="lightGray"/>
        </w:rPr>
        <w:t>Střížovice u Plzně</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w:t>
      </w:r>
      <w:proofErr w:type="gramStart"/>
      <w:r w:rsidRPr="003E01BC">
        <w:rPr>
          <w:rFonts w:ascii="Arial" w:hAnsi="Arial" w:cs="Arial"/>
        </w:rPr>
        <w:t>č.j.</w:t>
      </w:r>
      <w:proofErr w:type="gramEnd"/>
      <w:r w:rsidRPr="003E01BC">
        <w:rPr>
          <w:rFonts w:ascii="Arial" w:hAnsi="Arial" w:cs="Arial"/>
        </w:rPr>
        <w:t xml:space="preserve">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Návod pro vedení a správu katastru nemovitostí, </w:t>
      </w:r>
      <w:proofErr w:type="gramStart"/>
      <w:r w:rsidRPr="003E01BC">
        <w:rPr>
          <w:rFonts w:ascii="Arial" w:hAnsi="Arial" w:cs="Arial"/>
        </w:rPr>
        <w:t>č.j.</w:t>
      </w:r>
      <w:proofErr w:type="gramEnd"/>
      <w:r w:rsidRPr="003E01BC">
        <w:rPr>
          <w:rFonts w:ascii="Arial" w:hAnsi="Arial" w:cs="Arial"/>
        </w:rPr>
        <w:t xml:space="preserve">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Struktura výměnného formátu informačního systému katastru nemovitostí České republiky, </w:t>
      </w:r>
      <w:proofErr w:type="gramStart"/>
      <w:r w:rsidRPr="003E01BC">
        <w:rPr>
          <w:rFonts w:ascii="Arial" w:hAnsi="Arial" w:cs="Arial"/>
        </w:rPr>
        <w:t>č.j.</w:t>
      </w:r>
      <w:proofErr w:type="gramEnd"/>
      <w:r w:rsidRPr="003E01BC">
        <w:rPr>
          <w:rFonts w:ascii="Arial" w:hAnsi="Arial" w:cs="Arial"/>
        </w:rPr>
        <w:t xml:space="preserve">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Technologický postup pro revizi a zřizování zhušťovacích bodů ČÚZK, </w:t>
      </w:r>
      <w:proofErr w:type="gramStart"/>
      <w:r w:rsidRPr="003E01BC">
        <w:rPr>
          <w:rFonts w:ascii="Arial" w:hAnsi="Arial" w:cs="Arial"/>
        </w:rPr>
        <w:t>č.j.</w:t>
      </w:r>
      <w:proofErr w:type="gramEnd"/>
      <w:r w:rsidRPr="003E01BC">
        <w:rPr>
          <w:rFonts w:ascii="Arial" w:hAnsi="Arial" w:cs="Arial"/>
        </w:rPr>
        <w:t xml:space="preserve">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 xml:space="preserve">o bude rozděleno na následující ucelené části sestavené z níže uvedených fakturačních celků a v souladu s přílohou vyhlášky č. 545/2002 Sb. v platném znění,  Metodickým návodem k provádění pozemkových úprav, </w:t>
      </w:r>
      <w:proofErr w:type="gramStart"/>
      <w:r w:rsidR="00DA0FF1" w:rsidRPr="00232467">
        <w:rPr>
          <w:rFonts w:ascii="Arial" w:hAnsi="Arial" w:cs="Arial"/>
          <w:sz w:val="20"/>
          <w:szCs w:val="20"/>
        </w:rPr>
        <w:t>č.j.</w:t>
      </w:r>
      <w:proofErr w:type="gramEnd"/>
      <w:r w:rsidR="00DA0FF1" w:rsidRPr="00232467">
        <w:rPr>
          <w:rFonts w:ascii="Arial" w:hAnsi="Arial" w:cs="Arial"/>
          <w:sz w:val="20"/>
          <w:szCs w:val="20"/>
        </w:rPr>
        <w:t xml:space="preserve">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proofErr w:type="gramStart"/>
      <w:r>
        <w:rPr>
          <w:rFonts w:ascii="Arial" w:hAnsi="Arial" w:cs="Arial"/>
        </w:rPr>
        <w:t>1.1</w:t>
      </w:r>
      <w:proofErr w:type="gramEnd"/>
      <w:r>
        <w:rPr>
          <w:rFonts w:ascii="Arial" w:hAnsi="Arial" w:cs="Arial"/>
        </w:rPr>
        <w:t>.</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proofErr w:type="gramStart"/>
      <w:r w:rsidRPr="00232467">
        <w:rPr>
          <w:rFonts w:ascii="Arial" w:hAnsi="Arial" w:cs="Arial"/>
        </w:rPr>
        <w:t>1</w:t>
      </w:r>
      <w:r w:rsidR="006E2A8C">
        <w:rPr>
          <w:rFonts w:ascii="Arial" w:hAnsi="Arial" w:cs="Arial"/>
        </w:rPr>
        <w:t>.2</w:t>
      </w:r>
      <w:proofErr w:type="gramEnd"/>
      <w:r w:rsidR="006E2A8C">
        <w:rPr>
          <w:rFonts w:ascii="Arial" w:hAnsi="Arial" w:cs="Arial"/>
        </w:rPr>
        <w:t>.</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proofErr w:type="gramStart"/>
      <w:r>
        <w:rPr>
          <w:rFonts w:ascii="Arial" w:hAnsi="Arial" w:cs="Arial"/>
        </w:rPr>
        <w:t>1.3</w:t>
      </w:r>
      <w:proofErr w:type="gramEnd"/>
      <w:r>
        <w:rPr>
          <w:rFonts w:ascii="Arial" w:hAnsi="Arial" w:cs="Arial"/>
        </w:rPr>
        <w:t>.</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proofErr w:type="gramStart"/>
      <w:r>
        <w:rPr>
          <w:rFonts w:ascii="Arial" w:hAnsi="Arial" w:cs="Arial"/>
        </w:rPr>
        <w:t>1.4</w:t>
      </w:r>
      <w:proofErr w:type="gramEnd"/>
      <w:r>
        <w:rPr>
          <w:rFonts w:ascii="Arial" w:hAnsi="Arial" w:cs="Arial"/>
        </w:rPr>
        <w:t>.</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proofErr w:type="gramStart"/>
      <w:r>
        <w:rPr>
          <w:rFonts w:ascii="Arial" w:hAnsi="Arial" w:cs="Arial"/>
        </w:rPr>
        <w:t>1.5</w:t>
      </w:r>
      <w:proofErr w:type="gramEnd"/>
      <w:r>
        <w:rPr>
          <w:rFonts w:ascii="Arial" w:hAnsi="Arial" w:cs="Arial"/>
        </w:rPr>
        <w:t>.</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proofErr w:type="gramStart"/>
      <w:r w:rsidRPr="002C218C">
        <w:rPr>
          <w:rFonts w:ascii="Arial" w:hAnsi="Arial" w:cs="Arial"/>
        </w:rPr>
        <w:t>1.6</w:t>
      </w:r>
      <w:proofErr w:type="gramEnd"/>
      <w:r w:rsidRPr="002C218C">
        <w:rPr>
          <w:rFonts w:ascii="Arial" w:hAnsi="Arial" w:cs="Arial"/>
        </w:rPr>
        <w:t>.</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proofErr w:type="gramStart"/>
      <w:r w:rsidRPr="002C218C">
        <w:rPr>
          <w:rFonts w:ascii="Arial" w:hAnsi="Arial" w:cs="Arial"/>
        </w:rPr>
        <w:t>1.</w:t>
      </w:r>
      <w:r w:rsidR="004D29EF" w:rsidRPr="002C218C">
        <w:rPr>
          <w:rFonts w:ascii="Arial" w:hAnsi="Arial" w:cs="Arial"/>
        </w:rPr>
        <w:t>7</w:t>
      </w:r>
      <w:proofErr w:type="gramEnd"/>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w:t>
      </w:r>
      <w:proofErr w:type="gramStart"/>
      <w:r w:rsidRPr="00232467">
        <w:rPr>
          <w:rFonts w:ascii="Arial" w:hAnsi="Arial" w:cs="Arial"/>
        </w:rPr>
        <w:t>v.v.</w:t>
      </w:r>
      <w:proofErr w:type="gramEnd"/>
      <w:r w:rsidRPr="00232467">
        <w:rPr>
          <w:rFonts w:ascii="Arial" w:hAnsi="Arial" w:cs="Arial"/>
        </w:rPr>
        <w:t xml:space="preserve">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2.1</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w:t>
      </w:r>
      <w:proofErr w:type="gramStart"/>
      <w:r w:rsidR="00DA0FF1" w:rsidRPr="006E2A8C">
        <w:rPr>
          <w:rFonts w:ascii="Arial" w:hAnsi="Arial" w:cs="Arial"/>
          <w:sz w:val="20"/>
          <w:szCs w:val="20"/>
        </w:rPr>
        <w:t>k.ú.</w:t>
      </w:r>
      <w:proofErr w:type="gramEnd"/>
      <w:r w:rsidR="00DA0FF1" w:rsidRPr="006E2A8C">
        <w:rPr>
          <w:rFonts w:ascii="Arial" w:hAnsi="Arial" w:cs="Arial"/>
          <w:sz w:val="20"/>
          <w:szCs w:val="20"/>
        </w:rPr>
        <w:t xml:space="preserve">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2.2</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2.3</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2.4</w:t>
      </w:r>
      <w:proofErr w:type="gramEnd"/>
      <w:r>
        <w:rPr>
          <w:rFonts w:ascii="Arial" w:hAnsi="Arial" w:cs="Arial"/>
          <w:sz w:val="20"/>
          <w:szCs w:val="20"/>
        </w:rPr>
        <w:t>.</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2.5</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w:t>
      </w:r>
      <w:proofErr w:type="gramStart"/>
      <w:r w:rsidR="00DA0FF1" w:rsidRPr="006E2A8C">
        <w:rPr>
          <w:rFonts w:ascii="Arial" w:hAnsi="Arial" w:cs="Arial"/>
          <w:sz w:val="20"/>
          <w:szCs w:val="20"/>
        </w:rPr>
        <w:t>této</w:t>
      </w:r>
      <w:proofErr w:type="gramEnd"/>
      <w:r w:rsidR="00DA0FF1" w:rsidRPr="006E2A8C">
        <w:rPr>
          <w:rFonts w:ascii="Arial" w:hAnsi="Arial" w:cs="Arial"/>
          <w:sz w:val="20"/>
          <w:szCs w:val="20"/>
        </w:rPr>
        <w:t xml:space="preserve">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2.6</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proofErr w:type="gramStart"/>
      <w:r>
        <w:rPr>
          <w:rFonts w:ascii="Arial" w:hAnsi="Arial" w:cs="Arial"/>
        </w:rPr>
        <w:t>3.1</w:t>
      </w:r>
      <w:proofErr w:type="gramEnd"/>
      <w:r>
        <w:rPr>
          <w:rFonts w:ascii="Arial" w:hAnsi="Arial" w:cs="Arial"/>
        </w:rPr>
        <w:t>.</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proofErr w:type="gramStart"/>
      <w:r>
        <w:rPr>
          <w:rFonts w:ascii="Arial" w:hAnsi="Arial" w:cs="Arial"/>
        </w:rPr>
        <w:t>3.2</w:t>
      </w:r>
      <w:proofErr w:type="gramEnd"/>
      <w:r>
        <w:rPr>
          <w:rFonts w:ascii="Arial" w:hAnsi="Arial" w:cs="Arial"/>
        </w:rPr>
        <w:t>.</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 xml:space="preserve">a včetně digitální katastrální mapy (dále jen „DKM“), SPI a podkladů potřebných pro zavedení výsledků pozemkových úprav do KN. Topologická úprava platných linií BPEJ na DKM, schválená VÚMOP, </w:t>
      </w:r>
      <w:proofErr w:type="gramStart"/>
      <w:r w:rsidR="00DA0FF1" w:rsidRPr="006E2A8C">
        <w:rPr>
          <w:rFonts w:ascii="Arial" w:hAnsi="Arial" w:cs="Arial"/>
        </w:rPr>
        <w:t>v.v.</w:t>
      </w:r>
      <w:proofErr w:type="gramEnd"/>
      <w:r w:rsidR="00DA0FF1" w:rsidRPr="006E2A8C">
        <w:rPr>
          <w:rFonts w:ascii="Arial" w:hAnsi="Arial" w:cs="Arial"/>
        </w:rPr>
        <w:t>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w:t>
      </w:r>
      <w:proofErr w:type="gramStart"/>
      <w:r w:rsidRPr="00EF1636">
        <w:rPr>
          <w:rFonts w:ascii="Arial" w:hAnsi="Arial" w:cs="Arial"/>
        </w:rPr>
        <w:t>dgn,</w:t>
      </w:r>
      <w:r w:rsidR="00BF52AD" w:rsidRPr="00EF1636">
        <w:rPr>
          <w:rFonts w:ascii="Arial" w:hAnsi="Arial" w:cs="Arial"/>
        </w:rPr>
        <w:t>*.vyk</w:t>
      </w:r>
      <w:proofErr w:type="gramEnd"/>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 xml:space="preserve">Přípravné práce celkem ( </w:t>
            </w:r>
            <w:proofErr w:type="gramStart"/>
            <w:r w:rsidRPr="00A535E8">
              <w:rPr>
                <w:rFonts w:ascii="Arial" w:hAnsi="Arial" w:cs="Arial"/>
              </w:rPr>
              <w:t>1.1.-1.</w:t>
            </w:r>
            <w:r w:rsidR="00A535E8" w:rsidRPr="00A535E8">
              <w:rPr>
                <w:rFonts w:ascii="Arial" w:hAnsi="Arial" w:cs="Arial"/>
              </w:rPr>
              <w:t>7</w:t>
            </w:r>
            <w:proofErr w:type="gramEnd"/>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713DB3"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w:t>
            </w:r>
            <w:proofErr w:type="gramStart"/>
            <w:r w:rsidRPr="00A535E8">
              <w:rPr>
                <w:rFonts w:ascii="Arial" w:hAnsi="Arial" w:cs="Arial"/>
              </w:rPr>
              <w:t>2.1.-2.6</w:t>
            </w:r>
            <w:proofErr w:type="gramEnd"/>
            <w:r w:rsidRPr="00A535E8">
              <w:rPr>
                <w:rFonts w:ascii="Arial" w:hAnsi="Arial" w:cs="Arial"/>
              </w:rPr>
              <w:t>.)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713DB3"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w:t>
            </w:r>
            <w:proofErr w:type="gramStart"/>
            <w:r w:rsidRPr="00A535E8">
              <w:rPr>
                <w:rFonts w:ascii="Arial" w:hAnsi="Arial" w:cs="Arial"/>
              </w:rPr>
              <w:t>3.1.-3.2</w:t>
            </w:r>
            <w:proofErr w:type="gramEnd"/>
            <w:r w:rsidRPr="00A535E8">
              <w:rPr>
                <w:rFonts w:ascii="Arial" w:hAnsi="Arial" w:cs="Arial"/>
              </w:rPr>
              <w:t>.)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713DB3"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713DB3"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713DB3"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713DB3"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w:t>
      </w:r>
      <w:proofErr w:type="gramStart"/>
      <w:r w:rsidRPr="00F735C8">
        <w:rPr>
          <w:rFonts w:ascii="Arial" w:hAnsi="Arial" w:cs="Arial"/>
          <w:snapToGrid w:val="0"/>
        </w:rPr>
        <w:t>zák.</w:t>
      </w:r>
      <w:proofErr w:type="gramEnd"/>
      <w:r w:rsidRPr="00F735C8">
        <w:rPr>
          <w:rFonts w:ascii="Arial" w:hAnsi="Arial" w:cs="Arial"/>
          <w:snapToGrid w:val="0"/>
        </w:rPr>
        <w:t xml:space="preserve">).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 xml:space="preserve">l respektovat ustanovení § 23 Zákona. Případné Vícepráce </w:t>
      </w:r>
      <w:proofErr w:type="gramStart"/>
      <w:r w:rsidR="00DB7E41" w:rsidRPr="00AA3174">
        <w:rPr>
          <w:rFonts w:ascii="Arial" w:hAnsi="Arial" w:cs="Arial"/>
        </w:rPr>
        <w:t>budou oceněny</w:t>
      </w:r>
      <w:proofErr w:type="gramEnd"/>
      <w:r w:rsidR="00DB7E41" w:rsidRPr="00AA3174">
        <w:rPr>
          <w:rFonts w:ascii="Arial" w:hAnsi="Arial" w:cs="Arial"/>
        </w:rPr>
        <w:t xml:space="preserve">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ánku (</w:t>
      </w:r>
      <w:proofErr w:type="gramStart"/>
      <w:r w:rsidR="00BD27D0">
        <w:rPr>
          <w:rFonts w:ascii="Arial" w:hAnsi="Arial" w:cs="Arial"/>
          <w:b w:val="0"/>
          <w:sz w:val="20"/>
          <w:szCs w:val="20"/>
        </w:rPr>
        <w:t>XI.Subdodavatelé</w:t>
      </w:r>
      <w:proofErr w:type="gramEnd"/>
      <w:r w:rsidR="00BD27D0">
        <w:rPr>
          <w:rFonts w:ascii="Arial" w:hAnsi="Arial" w:cs="Arial"/>
          <w:b w:val="0"/>
          <w:sz w:val="20"/>
          <w:szCs w:val="20"/>
        </w:rPr>
        <w:t xml:space="preserve">)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 xml:space="preserve">v elektronické podobě na nosičích CD a DVD dle článku IV. bodu 2 </w:t>
      </w:r>
      <w:proofErr w:type="gramStart"/>
      <w:r w:rsidR="002E1570">
        <w:rPr>
          <w:rFonts w:ascii="Arial" w:hAnsi="Arial" w:cs="Arial"/>
          <w:b w:val="0"/>
          <w:sz w:val="20"/>
          <w:szCs w:val="20"/>
        </w:rPr>
        <w:t>posledního</w:t>
      </w:r>
      <w:proofErr w:type="gramEnd"/>
      <w:r w:rsidR="002E1570">
        <w:rPr>
          <w:rFonts w:ascii="Arial" w:hAnsi="Arial" w:cs="Arial"/>
          <w:b w:val="0"/>
          <w:sz w:val="20"/>
          <w:szCs w:val="20"/>
        </w:rPr>
        <w:t xml:space="preserve">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proofErr w:type="gramStart"/>
      <w:r>
        <w:rPr>
          <w:rFonts w:ascii="Arial" w:hAnsi="Arial" w:cs="Arial"/>
          <w:u w:val="single"/>
        </w:rPr>
        <w:t>dd.mm</w:t>
      </w:r>
      <w:proofErr w:type="gramEnd"/>
      <w:r>
        <w:rPr>
          <w:rFonts w:ascii="Arial" w:hAnsi="Arial" w:cs="Arial"/>
          <w:u w:val="single"/>
        </w:rPr>
        <w:t>.rrrr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713DB3"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713DB3" w:rsidRPr="005247D1">
        <w:rPr>
          <w:rFonts w:ascii="Arial" w:hAnsi="Arial" w:cs="Arial"/>
        </w:rPr>
      </w:r>
      <w:r w:rsidR="00713DB3"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713DB3" w:rsidRPr="005247D1">
        <w:rPr>
          <w:rFonts w:ascii="Arial" w:hAnsi="Arial" w:cs="Arial"/>
        </w:rPr>
        <w:fldChar w:fldCharType="end"/>
      </w:r>
      <w:r w:rsidR="005D0FBF">
        <w:rPr>
          <w:rFonts w:ascii="Arial" w:hAnsi="Arial" w:cs="Arial"/>
        </w:rPr>
        <w:t xml:space="preserve"> dne </w:t>
      </w:r>
      <w:r w:rsidR="00713DB3"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713DB3" w:rsidRPr="005247D1">
        <w:rPr>
          <w:rFonts w:ascii="Arial" w:hAnsi="Arial" w:cs="Arial"/>
        </w:rPr>
      </w:r>
      <w:r w:rsidR="00713DB3"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713DB3"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13DB3"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713DB3" w:rsidRPr="005247D1">
        <w:rPr>
          <w:rFonts w:ascii="Arial" w:hAnsi="Arial" w:cs="Arial"/>
        </w:rPr>
      </w:r>
      <w:r w:rsidR="00713DB3"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713DB3"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13DB3"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713DB3" w:rsidRPr="005247D1">
        <w:rPr>
          <w:rFonts w:ascii="Arial" w:hAnsi="Arial" w:cs="Arial"/>
        </w:rPr>
      </w:r>
      <w:r w:rsidR="00713DB3"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713DB3"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13DB3"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713DB3" w:rsidRPr="005247D1">
        <w:rPr>
          <w:rFonts w:ascii="Arial" w:hAnsi="Arial" w:cs="Arial"/>
        </w:rPr>
      </w:r>
      <w:r w:rsidR="00713DB3"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713DB3"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713DB3">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713DB3">
              <w:rPr>
                <w:b/>
                <w:sz w:val="24"/>
                <w:szCs w:val="24"/>
              </w:rPr>
              <w:fldChar w:fldCharType="begin"/>
            </w:r>
            <w:r>
              <w:rPr>
                <w:b/>
              </w:rPr>
              <w:instrText>PAGE</w:instrText>
            </w:r>
            <w:r w:rsidR="00713DB3">
              <w:rPr>
                <w:b/>
                <w:sz w:val="24"/>
                <w:szCs w:val="24"/>
              </w:rPr>
              <w:fldChar w:fldCharType="separate"/>
            </w:r>
            <w:r w:rsidR="00DF32B9">
              <w:rPr>
                <w:b/>
                <w:noProof/>
              </w:rPr>
              <w:t>2</w:t>
            </w:r>
            <w:r w:rsidR="00713DB3">
              <w:rPr>
                <w:b/>
                <w:sz w:val="24"/>
                <w:szCs w:val="24"/>
              </w:rPr>
              <w:fldChar w:fldCharType="end"/>
            </w:r>
            <w:r>
              <w:t xml:space="preserve"> z </w:t>
            </w:r>
            <w:r w:rsidR="00713DB3">
              <w:rPr>
                <w:b/>
                <w:sz w:val="24"/>
                <w:szCs w:val="24"/>
              </w:rPr>
              <w:fldChar w:fldCharType="begin"/>
            </w:r>
            <w:r>
              <w:rPr>
                <w:b/>
              </w:rPr>
              <w:instrText>NUMPAGES</w:instrText>
            </w:r>
            <w:r w:rsidR="00713DB3">
              <w:rPr>
                <w:b/>
                <w:sz w:val="24"/>
                <w:szCs w:val="24"/>
              </w:rPr>
              <w:fldChar w:fldCharType="separate"/>
            </w:r>
            <w:r w:rsidR="00DF32B9">
              <w:rPr>
                <w:b/>
                <w:noProof/>
              </w:rPr>
              <w:t>14</w:t>
            </w:r>
            <w:r w:rsidR="00713DB3">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stylePaneFormatFilter w:val="3F01"/>
  <w:documentProtection w:edit="forms" w:enforcement="1" w:cryptProviderType="rsaFull" w:cryptAlgorithmClass="hash" w:cryptAlgorithmType="typeAny" w:cryptAlgorithmSid="4" w:cryptSpinCount="100000" w:hash="L1zMt9bM15iIogoHO/Xab6z+yIk=" w:salt="87wCH2fse6UVNfYueNpeCA=="/>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2757"/>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DB3"/>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32B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AC3E7-46B2-41B3-8422-7C7C93105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7160</Words>
  <Characters>42250</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5</cp:revision>
  <cp:lastPrinted>2013-07-31T04:54:00Z</cp:lastPrinted>
  <dcterms:created xsi:type="dcterms:W3CDTF">2013-08-26T12:10:00Z</dcterms:created>
  <dcterms:modified xsi:type="dcterms:W3CDTF">2013-08-26T12:29:00Z</dcterms:modified>
</cp:coreProperties>
</file>