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B2FC1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F871D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2696F">
              <w:rPr>
                <w:rFonts w:ascii="Arial" w:hAnsi="Arial" w:cs="Arial"/>
                <w:b/>
                <w:bCs/>
                <w:sz w:val="22"/>
                <w:szCs w:val="22"/>
              </w:rPr>
              <w:t>Jednoduché pozemkové úpravy pro upřesnění přídělů v k.ú. Dolní Přím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F871D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696F">
              <w:rPr>
                <w:rFonts w:ascii="Arial" w:hAnsi="Arial" w:cs="Arial"/>
                <w:sz w:val="22"/>
                <w:szCs w:val="22"/>
              </w:rPr>
              <w:t>SP 2418/2020-514201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2FC1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71DF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5E5B5D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791CB-4FA3-4EFC-B89F-A5F64FBD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Boguschová Lenka</cp:lastModifiedBy>
  <cp:revision>5</cp:revision>
  <cp:lastPrinted>2018-01-29T13:45:00Z</cp:lastPrinted>
  <dcterms:created xsi:type="dcterms:W3CDTF">2018-02-07T11:40:00Z</dcterms:created>
  <dcterms:modified xsi:type="dcterms:W3CDTF">2020-09-07T14:42:00Z</dcterms:modified>
</cp:coreProperties>
</file>