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6B495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495A">
              <w:rPr>
                <w:rFonts w:ascii="Arial" w:hAnsi="Arial" w:cs="Arial"/>
                <w:i/>
                <w:sz w:val="22"/>
                <w:szCs w:val="22"/>
              </w:rPr>
              <w:t>Vytyčení vlastnických hranic pozemků po komplexních pozemkových úpravách v okrese Rakovník 2020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6B495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495A">
              <w:rPr>
                <w:rFonts w:ascii="Arial" w:hAnsi="Arial" w:cs="Arial"/>
                <w:i/>
                <w:sz w:val="22"/>
                <w:szCs w:val="22"/>
              </w:rPr>
              <w:t>SP7368/2020-537213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95A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3381D-C778-430A-9CEF-11E6544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2020-08-19T07:48:00Z</dcterms:modified>
</cp:coreProperties>
</file>