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24A2A965"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proofErr w:type="spellStart"/>
      <w:r w:rsidR="005A6D03" w:rsidRPr="00FB77E1">
        <w:rPr>
          <w:rFonts w:ascii="Arial" w:hAnsi="Arial" w:cs="Arial"/>
          <w:snapToGrid w:val="0"/>
          <w:sz w:val="22"/>
          <w:szCs w:val="22"/>
        </w:rPr>
        <w:t>pro</w:t>
      </w:r>
      <w:proofErr w:type="spellEnd"/>
      <w:r w:rsidR="005A6D03" w:rsidRPr="00FB77E1">
        <w:rPr>
          <w:rFonts w:ascii="Arial" w:hAnsi="Arial" w:cs="Arial"/>
          <w:snapToGrid w:val="0"/>
          <w:sz w:val="22"/>
          <w:szCs w:val="22"/>
        </w:rPr>
        <w:t xml:space="preserve"> </w:t>
      </w:r>
      <w:r w:rsidR="005A6D03">
        <w:rPr>
          <w:rFonts w:ascii="Arial" w:hAnsi="Arial" w:cs="Arial"/>
          <w:snapToGrid w:val="0"/>
          <w:sz w:val="22"/>
          <w:szCs w:val="22"/>
        </w:rPr>
        <w:t>Ústecký kraj</w:t>
      </w:r>
    </w:p>
    <w:p w14:paraId="68B9BB0D" w14:textId="0F494297"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5A6D03" w:rsidRPr="005A6D03">
        <w:rPr>
          <w:rFonts w:ascii="Arial" w:hAnsi="Arial" w:cs="Arial"/>
          <w:sz w:val="22"/>
          <w:szCs w:val="22"/>
        </w:rPr>
        <w:t>Husitská 2, 415 01 Teplice</w:t>
      </w:r>
      <w:r w:rsidR="005A6D03" w:rsidRPr="005A6D03" w:rsidDel="005A6D03">
        <w:rPr>
          <w:rFonts w:ascii="Arial" w:hAnsi="Arial" w:cs="Arial"/>
          <w:sz w:val="22"/>
          <w:szCs w:val="22"/>
        </w:rPr>
        <w:t xml:space="preserve"> </w:t>
      </w:r>
      <w:r w:rsidRPr="00FB77E1">
        <w:rPr>
          <w:rFonts w:ascii="Arial" w:hAnsi="Arial" w:cs="Arial"/>
          <w:sz w:val="22"/>
          <w:szCs w:val="22"/>
        </w:rPr>
        <w:tab/>
      </w:r>
    </w:p>
    <w:p w14:paraId="3849D543" w14:textId="67C8FF83" w:rsidR="001268CA" w:rsidRPr="00FB77E1" w:rsidRDefault="001268CA" w:rsidP="00DB5609">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5A6D03" w:rsidRPr="005A6D03">
        <w:rPr>
          <w:rFonts w:ascii="Arial" w:hAnsi="Arial" w:cs="Arial"/>
          <w:sz w:val="22"/>
          <w:szCs w:val="22"/>
        </w:rPr>
        <w:t xml:space="preserve">PhDr. Ing. Mgr. Oldřichem Valhou, MBA, ředitelem krajského pozemkového úřadu pro Ústecký kraj </w:t>
      </w:r>
    </w:p>
    <w:p w14:paraId="25455417" w14:textId="33C42C52" w:rsidR="00A15966" w:rsidRPr="00A15966"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5A6D03" w:rsidRPr="00A15966">
        <w:rPr>
          <w:rFonts w:ascii="Arial" w:hAnsi="Arial" w:cs="Arial"/>
          <w:sz w:val="22"/>
          <w:szCs w:val="22"/>
        </w:rPr>
        <w:t>PhDr. Ing. Mgr. Oldřich Valha, MBA</w:t>
      </w:r>
    </w:p>
    <w:p w14:paraId="77FA016E" w14:textId="5006467D" w:rsidR="001268CA" w:rsidRPr="00A15966" w:rsidRDefault="001268CA" w:rsidP="005A6D03">
      <w:pPr>
        <w:pStyle w:val="Bezmezer"/>
        <w:tabs>
          <w:tab w:val="left" w:pos="4536"/>
        </w:tabs>
        <w:ind w:left="4536" w:hanging="4536"/>
        <w:rPr>
          <w:rFonts w:ascii="Arial" w:hAnsi="Arial" w:cs="Arial"/>
          <w:sz w:val="22"/>
          <w:szCs w:val="22"/>
        </w:rPr>
      </w:pPr>
      <w:r w:rsidRPr="00A15966">
        <w:rPr>
          <w:rFonts w:ascii="Arial" w:hAnsi="Arial" w:cs="Arial"/>
          <w:sz w:val="22"/>
          <w:szCs w:val="22"/>
        </w:rPr>
        <w:t>V</w:t>
      </w:r>
      <w:r w:rsidR="00A15966">
        <w:rPr>
          <w:rFonts w:ascii="Arial" w:hAnsi="Arial" w:cs="Arial"/>
          <w:sz w:val="22"/>
          <w:szCs w:val="22"/>
        </w:rPr>
        <w:t xml:space="preserve"> </w:t>
      </w:r>
      <w:r w:rsidRPr="00A15966">
        <w:rPr>
          <w:rFonts w:ascii="Arial" w:hAnsi="Arial" w:cs="Arial"/>
          <w:snapToGrid w:val="0"/>
          <w:sz w:val="22"/>
          <w:szCs w:val="22"/>
        </w:rPr>
        <w:t>technických záležitostech oprávněn jednat:</w:t>
      </w:r>
      <w:r w:rsidRPr="00A15966">
        <w:rPr>
          <w:rFonts w:ascii="Arial" w:hAnsi="Arial" w:cs="Arial"/>
          <w:snapToGrid w:val="0"/>
          <w:sz w:val="22"/>
          <w:szCs w:val="22"/>
        </w:rPr>
        <w:tab/>
      </w:r>
      <w:r w:rsidR="00DB5609">
        <w:rPr>
          <w:rFonts w:ascii="Arial" w:hAnsi="Arial" w:cs="Arial"/>
          <w:snapToGrid w:val="0"/>
          <w:sz w:val="22"/>
          <w:szCs w:val="22"/>
        </w:rPr>
        <w:t xml:space="preserve">Ing. </w:t>
      </w:r>
      <w:r w:rsidR="00C51454">
        <w:rPr>
          <w:rFonts w:ascii="Arial" w:hAnsi="Arial" w:cs="Arial"/>
          <w:snapToGrid w:val="0"/>
          <w:sz w:val="22"/>
          <w:szCs w:val="22"/>
        </w:rPr>
        <w:t>Jitka Procházková</w:t>
      </w:r>
      <w:r w:rsidR="005A6D03" w:rsidRPr="00A15966">
        <w:rPr>
          <w:rFonts w:ascii="Arial" w:hAnsi="Arial" w:cs="Arial"/>
          <w:sz w:val="22"/>
          <w:szCs w:val="22"/>
        </w:rPr>
        <w:t>, pracovn</w:t>
      </w:r>
      <w:r w:rsidR="00D174DF">
        <w:rPr>
          <w:rFonts w:ascii="Arial" w:hAnsi="Arial" w:cs="Arial"/>
          <w:sz w:val="22"/>
          <w:szCs w:val="22"/>
        </w:rPr>
        <w:t>i</w:t>
      </w:r>
      <w:r w:rsidR="00C51454">
        <w:rPr>
          <w:rFonts w:ascii="Arial" w:hAnsi="Arial" w:cs="Arial"/>
          <w:sz w:val="22"/>
          <w:szCs w:val="22"/>
        </w:rPr>
        <w:t xml:space="preserve">ce </w:t>
      </w:r>
      <w:r w:rsidR="005A6D03" w:rsidRPr="00A15966">
        <w:rPr>
          <w:rFonts w:ascii="Arial" w:hAnsi="Arial" w:cs="Arial"/>
          <w:sz w:val="22"/>
          <w:szCs w:val="22"/>
        </w:rPr>
        <w:t>Pobočky Teplice</w:t>
      </w:r>
    </w:p>
    <w:p w14:paraId="73EFAB77" w14:textId="6C875906"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A15966" w:rsidRPr="00A15966">
        <w:t xml:space="preserve"> </w:t>
      </w:r>
      <w:r w:rsidR="00A15966" w:rsidRPr="00A15966">
        <w:rPr>
          <w:rFonts w:ascii="Arial" w:hAnsi="Arial" w:cs="Arial"/>
          <w:sz w:val="22"/>
          <w:szCs w:val="22"/>
        </w:rPr>
        <w:t>Masarykova 2421/66, 415 01 Teplice</w:t>
      </w:r>
      <w:r w:rsidRPr="00FB77E1">
        <w:rPr>
          <w:rFonts w:ascii="Arial" w:hAnsi="Arial" w:cs="Arial"/>
          <w:sz w:val="22"/>
          <w:szCs w:val="22"/>
        </w:rPr>
        <w:t xml:space="preserve"> </w:t>
      </w:r>
    </w:p>
    <w:p w14:paraId="4D15DAF6" w14:textId="47B744C8"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A15966">
        <w:rPr>
          <w:rFonts w:ascii="Arial" w:hAnsi="Arial" w:cs="Arial"/>
          <w:sz w:val="22"/>
          <w:szCs w:val="22"/>
        </w:rPr>
        <w:t xml:space="preserve">+420 727 956 </w:t>
      </w:r>
      <w:r w:rsidR="00D61F39">
        <w:rPr>
          <w:rFonts w:ascii="Arial" w:hAnsi="Arial" w:cs="Arial"/>
          <w:sz w:val="22"/>
          <w:szCs w:val="22"/>
        </w:rPr>
        <w:t>872</w:t>
      </w:r>
      <w:r w:rsidR="00A15966" w:rsidRPr="00FB77E1">
        <w:rPr>
          <w:rFonts w:ascii="Arial" w:hAnsi="Arial" w:cs="Arial"/>
          <w:sz w:val="22"/>
          <w:szCs w:val="22"/>
        </w:rPr>
        <w:t xml:space="preserve">  </w:t>
      </w:r>
      <w:r w:rsidRPr="00FB77E1">
        <w:rPr>
          <w:rFonts w:ascii="Arial" w:hAnsi="Arial" w:cs="Arial"/>
          <w:sz w:val="22"/>
          <w:szCs w:val="22"/>
        </w:rPr>
        <w:t xml:space="preserve">  </w:t>
      </w:r>
    </w:p>
    <w:p w14:paraId="5A7DEEE6" w14:textId="07AAE2C5"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A15966">
        <w:rPr>
          <w:rFonts w:ascii="Arial" w:hAnsi="Arial" w:cs="Arial"/>
          <w:sz w:val="22"/>
          <w:szCs w:val="22"/>
        </w:rPr>
        <w:t>ustecky.kraj@spucr.cz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14A3BE0C"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 xml:space="preserve">(dále </w:t>
      </w:r>
      <w:r w:rsidRPr="002A0D45">
        <w:rPr>
          <w:rFonts w:ascii="Arial" w:hAnsi="Arial" w:cs="Arial"/>
          <w:bCs/>
          <w:snapToGrid w:val="0"/>
          <w:sz w:val="22"/>
          <w:szCs w:val="22"/>
          <w:lang w:val="cs-CZ"/>
        </w:rPr>
        <w:t>jen „</w:t>
      </w:r>
      <w:r w:rsidRPr="002A0D45">
        <w:rPr>
          <w:rFonts w:ascii="Arial" w:hAnsi="Arial" w:cs="Arial"/>
          <w:b/>
          <w:bCs/>
          <w:snapToGrid w:val="0"/>
          <w:sz w:val="22"/>
          <w:szCs w:val="22"/>
          <w:lang w:val="cs-CZ"/>
        </w:rPr>
        <w:t>smlouva</w:t>
      </w:r>
      <w:r w:rsidRPr="002A0D45">
        <w:rPr>
          <w:rFonts w:ascii="Arial" w:hAnsi="Arial" w:cs="Arial"/>
          <w:bCs/>
          <w:snapToGrid w:val="0"/>
          <w:sz w:val="22"/>
          <w:szCs w:val="22"/>
          <w:lang w:val="cs-CZ"/>
        </w:rPr>
        <w:t>“)</w:t>
      </w:r>
      <w:r w:rsidRPr="002A0D45">
        <w:rPr>
          <w:rFonts w:ascii="Arial" w:hAnsi="Arial" w:cs="Arial"/>
          <w:b/>
          <w:bCs/>
          <w:snapToGrid w:val="0"/>
          <w:sz w:val="22"/>
          <w:szCs w:val="22"/>
          <w:lang w:val="cs-CZ"/>
        </w:rPr>
        <w:t xml:space="preserve"> </w:t>
      </w:r>
      <w:r w:rsidRPr="002A0D45">
        <w:rPr>
          <w:rFonts w:ascii="Arial" w:hAnsi="Arial" w:cs="Arial"/>
          <w:snapToGrid w:val="0"/>
          <w:sz w:val="22"/>
          <w:szCs w:val="22"/>
          <w:lang w:val="cs-CZ"/>
        </w:rPr>
        <w:t xml:space="preserve">na základě výsledku </w:t>
      </w:r>
      <w:r w:rsidR="00DB5609" w:rsidRPr="002A0D45">
        <w:rPr>
          <w:rFonts w:ascii="Arial" w:hAnsi="Arial" w:cs="Arial"/>
          <w:snapToGrid w:val="0"/>
          <w:sz w:val="22"/>
          <w:szCs w:val="22"/>
          <w:lang w:val="cs-CZ"/>
        </w:rPr>
        <w:t xml:space="preserve">výběrového </w:t>
      </w:r>
      <w:r w:rsidRPr="002A0D45">
        <w:rPr>
          <w:rFonts w:ascii="Arial" w:hAnsi="Arial" w:cs="Arial"/>
          <w:snapToGrid w:val="0"/>
          <w:sz w:val="22"/>
          <w:szCs w:val="22"/>
          <w:lang w:val="cs-CZ"/>
        </w:rPr>
        <w:t xml:space="preserve"> řízení podle příslušných ustanovení zákona</w:t>
      </w:r>
      <w:r w:rsidRPr="00FB77E1">
        <w:rPr>
          <w:rFonts w:ascii="Arial" w:hAnsi="Arial" w:cs="Arial"/>
          <w:snapToGrid w:val="0"/>
          <w:sz w:val="22"/>
          <w:szCs w:val="22"/>
          <w:lang w:val="cs-CZ"/>
        </w:rPr>
        <w:t xml:space="preserve">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F444E9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40000A">
        <w:rPr>
          <w:rStyle w:val="Siln"/>
          <w:rFonts w:ascii="Arial" w:hAnsi="Arial" w:cs="Arial"/>
        </w:rPr>
        <w:t xml:space="preserve">v k.ú. </w:t>
      </w:r>
      <w:r w:rsidR="00C51454">
        <w:rPr>
          <w:rStyle w:val="Siln"/>
          <w:rFonts w:ascii="Arial" w:hAnsi="Arial" w:cs="Arial"/>
        </w:rPr>
        <w:t>Věšťany a v části k.ú. Kvítkov u</w:t>
      </w:r>
      <w:r w:rsidR="00A725ED">
        <w:rPr>
          <w:rStyle w:val="Siln"/>
          <w:rFonts w:ascii="Arial" w:hAnsi="Arial" w:cs="Arial"/>
        </w:rPr>
        <w:t> </w:t>
      </w:r>
      <w:r w:rsidR="00C51454">
        <w:rPr>
          <w:rStyle w:val="Siln"/>
          <w:rFonts w:ascii="Arial" w:hAnsi="Arial" w:cs="Arial"/>
        </w:rPr>
        <w:t>Modlan</w:t>
      </w:r>
      <w:r w:rsidR="0040000A" w:rsidRPr="00FB77E1">
        <w:rPr>
          <w:rFonts w:ascii="Arial" w:hAnsi="Arial" w:cs="Arial"/>
          <w:lang w:val="cs-CZ"/>
        </w:rPr>
        <w:t>“</w:t>
      </w:r>
      <w:r w:rsidR="0040000A" w:rsidRPr="00FB77E1">
        <w:rPr>
          <w:rFonts w:ascii="Arial" w:hAnsi="Arial" w:cs="Arial"/>
        </w:rPr>
        <w:t>.</w:t>
      </w:r>
    </w:p>
    <w:p w14:paraId="40C2F924" w14:textId="5AC1B780"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k.ú. </w:t>
      </w:r>
      <w:r w:rsidR="00C51454">
        <w:rPr>
          <w:rFonts w:ascii="Arial" w:hAnsi="Arial" w:cs="Arial"/>
        </w:rPr>
        <w:t>Věšťany a v části k.ú.  Kvítkov u Modlan</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29890C7"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a dokončeno v</w:t>
      </w:r>
      <w:r w:rsidR="00A725ED">
        <w:rPr>
          <w:rFonts w:ascii="Arial" w:hAnsi="Arial" w:cs="Arial"/>
        </w:rPr>
        <w:t> </w:t>
      </w:r>
      <w:r w:rsidR="000772BA">
        <w:rPr>
          <w:rFonts w:ascii="Arial" w:hAnsi="Arial" w:cs="Arial"/>
        </w:rPr>
        <w:t xml:space="preserve">předpokládaném </w:t>
      </w:r>
      <w:r w:rsidR="00672EC3" w:rsidRPr="00F05981">
        <w:rPr>
          <w:rFonts w:ascii="Arial" w:hAnsi="Arial" w:cs="Arial"/>
        </w:rPr>
        <w:t>termínu dle zadávací dokumentace, tj.</w:t>
      </w:r>
      <w:r w:rsidR="00C51454">
        <w:rPr>
          <w:rFonts w:ascii="Arial" w:hAnsi="Arial" w:cs="Arial"/>
          <w:b/>
        </w:rPr>
        <w:t xml:space="preserve"> </w:t>
      </w:r>
      <w:bookmarkEnd w:id="0"/>
      <w:r w:rsidR="00493251">
        <w:rPr>
          <w:rFonts w:ascii="Arial" w:hAnsi="Arial" w:cs="Arial"/>
          <w:b/>
          <w:i/>
          <w:color w:val="FF0000"/>
          <w:u w:val="single"/>
        </w:rPr>
        <w:t>31. 10.</w:t>
      </w:r>
      <w:r w:rsidR="00C51454">
        <w:rPr>
          <w:rFonts w:ascii="Arial" w:hAnsi="Arial" w:cs="Arial"/>
          <w:b/>
          <w:i/>
          <w:color w:val="FF0000"/>
          <w:u w:val="single"/>
        </w:rPr>
        <w:t xml:space="preserve"> 2025.</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bookmarkStart w:id="1" w:name="_GoBack"/>
      <w:bookmarkEnd w:id="1"/>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w:t>
      </w:r>
      <w:r w:rsidRPr="00FB77E1">
        <w:rPr>
          <w:rFonts w:ascii="Arial" w:hAnsi="Arial" w:cs="Arial"/>
          <w:lang w:val="cs-CZ"/>
        </w:rPr>
        <w:lastRenderedPageBreak/>
        <w:t>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Bpv). </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F595C6A"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7938A5">
        <w:rPr>
          <w:rFonts w:ascii="Arial" w:hAnsi="Arial" w:cs="Arial"/>
          <w:lang w:val="cs-CZ"/>
        </w:rPr>
        <w:t>1</w:t>
      </w:r>
      <w:r w:rsidRPr="00FB77E1">
        <w:rPr>
          <w:rFonts w:ascii="Arial" w:hAnsi="Arial" w:cs="Arial"/>
          <w:lang w:val="cs-CZ"/>
        </w:rPr>
        <w:t xml:space="preserve"> měsíc</w:t>
      </w:r>
      <w:r w:rsidR="007938A5">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597CB239"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B4576BA"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13807E9"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676C48F3"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7D6AE2">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2A88D8E8"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E35E4F">
        <w:rPr>
          <w:rFonts w:ascii="Arial" w:hAnsi="Arial" w:cs="Arial"/>
          <w:lang w:val="cs-CZ"/>
        </w:rPr>
        <w:t>zpracovatel.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lastRenderedPageBreak/>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odst. </w:t>
      </w:r>
      <w:r w:rsidRPr="00FB77E1">
        <w:rPr>
          <w:rFonts w:ascii="Arial" w:hAnsi="Arial" w:cs="Arial"/>
        </w:rPr>
        <w:lastRenderedPageBreak/>
        <w:t>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 xml:space="preserve">dokumentace </w:t>
      </w:r>
      <w:r w:rsidRPr="00FB77E1">
        <w:rPr>
          <w:rFonts w:ascii="Arial" w:hAnsi="Arial" w:cs="Arial"/>
        </w:rPr>
        <w:lastRenderedPageBreak/>
        <w:t>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5EF5F4C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w:t>
      </w:r>
      <w:r w:rsidR="00CA5C17">
        <w:rPr>
          <w:rFonts w:ascii="Arial" w:hAnsi="Arial" w:cs="Arial"/>
          <w:lang w:val="cs-CZ"/>
        </w:rPr>
        <w:t>2</w:t>
      </w:r>
      <w:r w:rsidRPr="00FB77E1">
        <w:rPr>
          <w:rFonts w:ascii="Arial" w:hAnsi="Arial" w:cs="Arial"/>
          <w:lang w:val="cs-CZ"/>
        </w:rPr>
        <w:t>x papírové zpracování (1x objednatel</w:t>
      </w:r>
      <w:r w:rsidR="00CA5C17">
        <w:rPr>
          <w:rFonts w:ascii="Arial" w:hAnsi="Arial" w:cs="Arial"/>
          <w:lang w:val="cs-CZ"/>
        </w:rPr>
        <w:t xml:space="preserve"> a 1x pro předání na katastrální úřad</w:t>
      </w:r>
      <w:r w:rsidRPr="00FB77E1">
        <w:rPr>
          <w:rFonts w:ascii="Arial" w:hAnsi="Arial" w:cs="Arial"/>
          <w:lang w:val="cs-CZ"/>
        </w:rPr>
        <w:t xml:space="preserve">)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7F1BBCDD"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lastRenderedPageBreak/>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80799D">
        <w:rPr>
          <w:rFonts w:ascii="Arial" w:hAnsi="Arial" w:cs="Arial"/>
          <w:lang w:val="cs-CZ"/>
        </w:rPr>
        <w:t>Teplice</w:t>
      </w:r>
      <w:r w:rsidR="0080799D" w:rsidRPr="00FB77E1">
        <w:rPr>
          <w:rFonts w:ascii="Arial" w:hAnsi="Arial" w:cs="Arial"/>
          <w:lang w:val="cs-CZ"/>
        </w:rPr>
        <w:t xml:space="preserve">, </w:t>
      </w:r>
      <w:r w:rsidR="00354192" w:rsidRPr="00FB77E1">
        <w:rPr>
          <w:rFonts w:ascii="Arial" w:hAnsi="Arial" w:cs="Arial"/>
          <w:lang w:val="cs-CZ"/>
        </w:rPr>
        <w:t>adresa</w:t>
      </w:r>
      <w:r w:rsidR="0080799D">
        <w:rPr>
          <w:rFonts w:ascii="Arial" w:hAnsi="Arial" w:cs="Arial"/>
          <w:lang w:val="cs-CZ"/>
        </w:rPr>
        <w:t xml:space="preserve"> Masarykova 2421/66, 415 01 Teplice</w:t>
      </w:r>
      <w:r w:rsidR="00354192" w:rsidRPr="00FB77E1">
        <w:rPr>
          <w:rFonts w:ascii="Arial" w:hAnsi="Arial" w:cs="Arial"/>
        </w:rPr>
        <w:t xml:space="preserve"> </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 schválení</w:t>
      </w:r>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2480485F"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6C7CC5">
        <w:rPr>
          <w:rFonts w:ascii="Arial" w:hAnsi="Arial" w:cs="Arial"/>
        </w:rPr>
        <w:t>Masarykova 2421/66, 415 01 Teplice.</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E525D2A"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w:t>
      </w:r>
      <w:r w:rsidR="001C6C1D" w:rsidRPr="00FB77E1">
        <w:rPr>
          <w:rFonts w:ascii="Arial" w:hAnsi="Arial" w:cs="Arial"/>
          <w:lang w:val="cs-CZ"/>
        </w:rPr>
        <w:t xml:space="preserve"> </w:t>
      </w:r>
      <w:r w:rsidRPr="00E35E4F">
        <w:rPr>
          <w:rFonts w:ascii="Arial" w:hAnsi="Arial" w:cs="Arial"/>
          <w:highlight w:val="yellow"/>
          <w:lang w:val="cs-CZ"/>
        </w:rPr>
        <w:t>60</w:t>
      </w:r>
      <w:r w:rsidR="00C007B3" w:rsidRPr="00E35E4F">
        <w:rPr>
          <w:rFonts w:ascii="Arial" w:hAnsi="Arial" w:cs="Arial"/>
          <w:highlight w:val="yellow"/>
          <w:lang w:val="cs-CZ"/>
        </w:rPr>
        <w:t xml:space="preserve"> + …...</w:t>
      </w:r>
      <w:r w:rsidRPr="00E35E4F">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w:t>
      </w:r>
      <w:r w:rsidRPr="00FB77E1">
        <w:rPr>
          <w:rFonts w:ascii="Arial" w:hAnsi="Arial" w:cs="Arial"/>
          <w:lang w:val="cs-CZ"/>
        </w:rPr>
        <w:lastRenderedPageBreak/>
        <w:t>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 xml:space="preserve">ze smlouvy způsobem a za podmínek uvedených níže v tomto článku. Obsahem </w:t>
      </w:r>
      <w:r w:rsidRPr="00FB77E1">
        <w:rPr>
          <w:rFonts w:ascii="Arial" w:hAnsi="Arial" w:cs="Arial"/>
          <w:lang w:val="cs-CZ"/>
        </w:rPr>
        <w:lastRenderedPageBreak/>
        <w:t>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r w:rsidRPr="00A725ED">
        <w:rPr>
          <w:rFonts w:ascii="Arial" w:hAnsi="Arial" w:cs="Arial"/>
          <w:lang w:val="cs-CZ"/>
        </w:rPr>
        <w:t>20 %</w:t>
      </w:r>
      <w:r w:rsidRPr="00FB77E1">
        <w:rPr>
          <w:rFonts w:ascii="Arial" w:hAnsi="Arial" w:cs="Arial"/>
          <w:lang w:val="cs-CZ"/>
        </w:rPr>
        <w:t xml:space="preserve">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0B352F08"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1C462A">
        <w:rPr>
          <w:rFonts w:ascii="Arial" w:hAnsi="Arial" w:cs="Arial"/>
          <w:lang w:val="cs-CZ"/>
        </w:rPr>
        <w:t>Modlany</w:t>
      </w:r>
      <w:r w:rsidR="006C7CC5" w:rsidRPr="00FB77E1">
        <w:rPr>
          <w:rFonts w:ascii="Arial" w:hAnsi="Arial" w:cs="Arial"/>
          <w:lang w:val="cs-CZ"/>
        </w:rPr>
        <w:t xml:space="preserve">, </w:t>
      </w:r>
      <w:r w:rsidRPr="00FB77E1">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lastRenderedPageBreak/>
        <w:t>Hlavní celek 3.6. Mapové dílo.</w:t>
      </w:r>
    </w:p>
    <w:p w14:paraId="769BE552" w14:textId="3ABD0AB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6C7CC5">
        <w:rPr>
          <w:rFonts w:ascii="Arial" w:hAnsi="Arial" w:cs="Arial"/>
          <w:lang w:val="cs-CZ"/>
        </w:rPr>
        <w:t xml:space="preserve">v k.ú. </w:t>
      </w:r>
      <w:r w:rsidR="00C51454">
        <w:rPr>
          <w:rFonts w:ascii="Arial" w:hAnsi="Arial" w:cs="Arial"/>
          <w:lang w:val="cs-CZ"/>
        </w:rPr>
        <w:t>Věšťany a v části k.ú. Kvítkov u Modlan</w:t>
      </w:r>
      <w:r w:rsidR="006C7CC5"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FB77E1">
        <w:rPr>
          <w:rFonts w:ascii="Arial" w:hAnsi="Arial" w:cs="Arial"/>
          <w:lang w:val="cs-CZ"/>
        </w:rPr>
        <w:lastRenderedPageBreak/>
        <w:t>nahradit náklady, které objednateli vzniknou v souvislosti s uplatňováním náhrady škody.</w:t>
      </w:r>
    </w:p>
    <w:p w14:paraId="419168F0" w14:textId="6508E0B0"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w:t>
      </w:r>
      <w:r w:rsidRPr="00A725ED">
        <w:rPr>
          <w:rFonts w:ascii="Arial" w:hAnsi="Arial" w:cs="Arial"/>
        </w:rPr>
        <w:t xml:space="preserve">vzniká objednateli nárok na zaplacení smluvní pokuty. Výše smluvní pokuty je stanovena na </w:t>
      </w:r>
      <w:r w:rsidR="00BC0A07" w:rsidRPr="00A725ED">
        <w:rPr>
          <w:rFonts w:ascii="Arial" w:hAnsi="Arial" w:cs="Arial"/>
        </w:rPr>
        <w:t>100 000</w:t>
      </w:r>
      <w:r w:rsidRPr="00A725ED">
        <w:rPr>
          <w:rFonts w:ascii="Arial" w:hAnsi="Arial" w:cs="Arial"/>
        </w:rPr>
        <w:t xml:space="preserve"> Kč (slovy</w:t>
      </w:r>
      <w:r w:rsidR="00BC0A07" w:rsidRPr="00A725ED">
        <w:rPr>
          <w:rFonts w:ascii="Arial" w:hAnsi="Arial" w:cs="Arial"/>
        </w:rPr>
        <w:t xml:space="preserve"> </w:t>
      </w:r>
      <w:r w:rsidR="00C27FAA" w:rsidRPr="00A725ED">
        <w:rPr>
          <w:rFonts w:ascii="Arial" w:hAnsi="Arial" w:cs="Arial"/>
        </w:rPr>
        <w:t xml:space="preserve">jedno </w:t>
      </w:r>
      <w:r w:rsidR="00BC0A07" w:rsidRPr="00A725ED">
        <w:rPr>
          <w:rFonts w:ascii="Arial" w:hAnsi="Arial" w:cs="Arial"/>
        </w:rPr>
        <w:t>sto</w:t>
      </w:r>
      <w:r w:rsidR="00C27FAA" w:rsidRPr="00A725ED">
        <w:rPr>
          <w:rFonts w:ascii="Arial" w:hAnsi="Arial" w:cs="Arial"/>
        </w:rPr>
        <w:t xml:space="preserve"> </w:t>
      </w:r>
      <w:r w:rsidR="00BC0A07" w:rsidRPr="00A725ED">
        <w:rPr>
          <w:rFonts w:ascii="Arial" w:hAnsi="Arial" w:cs="Arial"/>
        </w:rPr>
        <w:t>tisíc</w:t>
      </w:r>
      <w:r w:rsidRPr="00A725ED">
        <w:rPr>
          <w:rFonts w:ascii="Arial" w:hAnsi="Arial" w:cs="Arial"/>
        </w:rPr>
        <w:t xml:space="preserve"> korun českých) za každý jednotlivý prokázaný případ porušení povinnosti. Smluvní pokuta je splatná do 15 kalendářních dnů ode dne obdržení</w:t>
      </w:r>
      <w:r w:rsidRPr="00FB77E1">
        <w:rPr>
          <w:rFonts w:ascii="Arial" w:hAnsi="Arial" w:cs="Arial"/>
        </w:rPr>
        <w:t xml:space="preserve">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 xml:space="preserve">nahradit ustanovení neplatné/neúčinné novým ustanovením platným/účinným, které nejlépe odpovídá původně zamýšlenému </w:t>
      </w:r>
      <w:r w:rsidRPr="00FB77E1">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4151E7B"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2A0D45">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2A0D45">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w:t>
      </w:r>
      <w:r w:rsidR="00892B8D" w:rsidRPr="00FB77E1">
        <w:rPr>
          <w:rFonts w:ascii="Arial" w:hAnsi="Arial" w:cs="Arial"/>
        </w:rPr>
        <w:t>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w:t>
      </w:r>
      <w:r w:rsidRPr="00FB77E1">
        <w:rPr>
          <w:rFonts w:ascii="Arial" w:hAnsi="Arial" w:cs="Arial"/>
        </w:rPr>
        <w:lastRenderedPageBreak/>
        <w:t xml:space="preserve">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commentRangeStart w:id="17"/>
      <w:r w:rsidRPr="00FB77E1">
        <w:rPr>
          <w:rFonts w:ascii="Arial" w:hAnsi="Arial" w:cs="Arial"/>
        </w:rPr>
        <w:t xml:space="preserve">Smlouva je vyhotovena ve čtyřech stejnopisech, ve dvou vyhotoveních pro objednatele a ve dvou vyhotoveních pro zhotovitele a každý z nich má váhu originálu. </w:t>
      </w:r>
      <w:commentRangeEnd w:id="17"/>
      <w:r w:rsidRPr="00FB77E1">
        <w:rPr>
          <w:rFonts w:ascii="Arial" w:hAnsi="Arial" w:cs="Arial"/>
        </w:rPr>
        <w:commentReference w:id="17"/>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 xml:space="preserve">o předmětu plnění smlouvy. Informace poskytnuté v souladu s citovaným zákonem </w:t>
      </w:r>
      <w:r w:rsidRPr="00FB77E1">
        <w:rPr>
          <w:rFonts w:ascii="Arial" w:hAnsi="Arial" w:cs="Arial"/>
        </w:rPr>
        <w:lastRenderedPageBreak/>
        <w:t>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0670EB8F"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825792">
              <w:rPr>
                <w:rFonts w:ascii="Arial" w:hAnsi="Arial" w:cs="Arial"/>
                <w:lang w:val="cs-CZ"/>
              </w:rPr>
              <w:t>Teplicích</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35097809" w:rsidR="00354192" w:rsidRPr="00FB77E1" w:rsidRDefault="00500E37" w:rsidP="00036C35">
            <w:pPr>
              <w:spacing w:after="0" w:line="240" w:lineRule="auto"/>
              <w:rPr>
                <w:rFonts w:ascii="Arial" w:hAnsi="Arial" w:cs="Arial"/>
              </w:rPr>
            </w:pPr>
            <w:r>
              <w:t xml:space="preserve"> </w:t>
            </w:r>
            <w:r w:rsidRPr="00500E37">
              <w:rPr>
                <w:rFonts w:ascii="Arial" w:hAnsi="Arial" w:cs="Arial"/>
              </w:rPr>
              <w:t>PhDr. Ing. Mgr. Oldřich Valha, MBA</w:t>
            </w:r>
          </w:p>
          <w:p w14:paraId="65C2E590" w14:textId="474EB5C1" w:rsidR="00825792" w:rsidRPr="00825792" w:rsidRDefault="00825792" w:rsidP="00036C35">
            <w:pPr>
              <w:spacing w:after="0" w:line="240" w:lineRule="auto"/>
              <w:rPr>
                <w:rFonts w:ascii="Arial" w:hAnsi="Arial" w:cs="Arial"/>
              </w:rPr>
            </w:pPr>
            <w:r w:rsidRPr="00825792">
              <w:rPr>
                <w:rFonts w:ascii="Arial" w:hAnsi="Arial" w:cs="Arial"/>
              </w:rPr>
              <w:t xml:space="preserve">ředitel Krajského pozemkového úřadu </w:t>
            </w:r>
          </w:p>
          <w:p w14:paraId="3238FFA4" w14:textId="00EDA500" w:rsidR="00354192" w:rsidRPr="00FB77E1" w:rsidRDefault="00825792" w:rsidP="00036C35">
            <w:pPr>
              <w:spacing w:after="0" w:line="240" w:lineRule="auto"/>
              <w:rPr>
                <w:rFonts w:ascii="Arial" w:hAnsi="Arial" w:cs="Arial"/>
                <w:lang w:val="cs-CZ"/>
              </w:rPr>
            </w:pPr>
            <w:r w:rsidRPr="00825792">
              <w:rPr>
                <w:rFonts w:ascii="Arial" w:hAnsi="Arial" w:cs="Arial"/>
              </w:rPr>
              <w:t>pro Ústecký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7" w:author="Lukešová Simona JUDr." w:date="2017-06-29T13:52:00Z" w:initials="LSJ">
    <w:p w14:paraId="1EDFC461" w14:textId="77777777" w:rsidR="00BE4B16" w:rsidRPr="004C6FA0" w:rsidRDefault="00BE4B16" w:rsidP="00CA02A6">
      <w:pPr>
        <w:pStyle w:val="Textkomente"/>
        <w:rPr>
          <w:rFonts w:ascii="Arial" w:hAnsi="Arial" w:cs="Arial"/>
        </w:rPr>
      </w:pPr>
      <w:r>
        <w:rPr>
          <w:rStyle w:val="Odkaznakoment"/>
        </w:rPr>
        <w:annotationRef/>
      </w:r>
      <w:r w:rsidRPr="004C6FA0">
        <w:rPr>
          <w:rFonts w:ascii="Arial" w:hAnsi="Arial" w:cs="Arial"/>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EDFC4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46AED" w14:textId="77777777" w:rsidR="00A25DFC" w:rsidRDefault="00A25DFC">
      <w:pPr>
        <w:spacing w:after="0" w:line="240" w:lineRule="auto"/>
      </w:pPr>
      <w:r>
        <w:separator/>
      </w:r>
    </w:p>
  </w:endnote>
  <w:endnote w:type="continuationSeparator" w:id="0">
    <w:p w14:paraId="1E779E48" w14:textId="77777777" w:rsidR="00A25DFC" w:rsidRDefault="00A25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4A216" w14:textId="77777777" w:rsidR="00A25DFC" w:rsidRDefault="00A25DFC">
      <w:pPr>
        <w:spacing w:after="0" w:line="240" w:lineRule="auto"/>
      </w:pPr>
      <w:r>
        <w:separator/>
      </w:r>
    </w:p>
  </w:footnote>
  <w:footnote w:type="continuationSeparator" w:id="0">
    <w:p w14:paraId="16C19C3B" w14:textId="77777777" w:rsidR="00A25DFC" w:rsidRDefault="00A25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1FCCC0F"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C51454">
      <w:rPr>
        <w:sz w:val="16"/>
        <w:lang w:val="cs-CZ"/>
      </w:rPr>
      <w:t>Věšťany a v části k.ú. Kvítkov u Modlan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66FBA19A" w:rsidR="00BE4B16" w:rsidRPr="00F0202E" w:rsidRDefault="00BE4B16" w:rsidP="00C51454">
    <w:pPr>
      <w:pStyle w:val="Zhlav"/>
      <w:pBdr>
        <w:bottom w:val="single" w:sz="6" w:space="1" w:color="auto"/>
      </w:pBdr>
      <w:tabs>
        <w:tab w:val="clear" w:pos="4536"/>
        <w:tab w:val="clear" w:pos="9072"/>
        <w:tab w:val="left" w:pos="3828"/>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Pr="00F0202E">
      <w:rPr>
        <w:rFonts w:ascii="Times New Roman" w:hAnsi="Times New Roman" w:cs="Times New Roman"/>
        <w:sz w:val="16"/>
      </w:rPr>
      <w:tab/>
    </w:r>
  </w:p>
  <w:p w14:paraId="02D2C8FF" w14:textId="77777777" w:rsidR="00BE4B16" w:rsidRPr="0001592E" w:rsidRDefault="00BE4B16" w:rsidP="00C51454">
    <w:pPr>
      <w:pStyle w:val="Zhlav"/>
      <w:pBdr>
        <w:bottom w:val="single" w:sz="6" w:space="1" w:color="auto"/>
      </w:pBdr>
      <w:tabs>
        <w:tab w:val="clear" w:pos="4536"/>
        <w:tab w:val="clear" w:pos="9072"/>
        <w:tab w:val="left" w:pos="3828"/>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8B1B6BF" w:rsidR="00BE4B16" w:rsidRPr="0001592E" w:rsidRDefault="00BE4B16" w:rsidP="00C51454">
    <w:pPr>
      <w:pStyle w:val="Zhlav"/>
      <w:pBdr>
        <w:bottom w:val="single" w:sz="6" w:space="1" w:color="auto"/>
      </w:pBdr>
      <w:tabs>
        <w:tab w:val="clear" w:pos="4536"/>
        <w:tab w:val="clear" w:pos="9072"/>
        <w:tab w:val="left" w:pos="3828"/>
      </w:tabs>
      <w:rPr>
        <w:rFonts w:ascii="Times New Roman" w:hAnsi="Times New Roman" w:cs="Times New Roman"/>
        <w:sz w:val="16"/>
      </w:rPr>
    </w:pPr>
    <w:r w:rsidRPr="0001592E">
      <w:rPr>
        <w:rFonts w:ascii="Times New Roman" w:hAnsi="Times New Roman" w:cs="Times New Roman"/>
        <w:sz w:val="16"/>
      </w:rPr>
      <w:tab/>
      <w:t>Komplexní pozemkové úpravy v k. ú.</w:t>
    </w:r>
    <w:r w:rsidR="003358D0">
      <w:rPr>
        <w:rFonts w:ascii="Times New Roman" w:hAnsi="Times New Roman" w:cs="Times New Roman"/>
        <w:sz w:val="16"/>
      </w:rPr>
      <w:t xml:space="preserve"> </w:t>
    </w:r>
    <w:r w:rsidR="00C51454">
      <w:rPr>
        <w:rFonts w:ascii="Times New Roman" w:hAnsi="Times New Roman" w:cs="Times New Roman"/>
        <w:sz w:val="16"/>
      </w:rPr>
      <w:t>Věšťany a v části k.ú. Kvítkov u Modlan</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C35"/>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0DB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1359"/>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462A"/>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0D45"/>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58D0"/>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4B4B"/>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00A"/>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3251"/>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0E37"/>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3740"/>
    <w:rsid w:val="0058538D"/>
    <w:rsid w:val="0058565F"/>
    <w:rsid w:val="00592821"/>
    <w:rsid w:val="00593039"/>
    <w:rsid w:val="00593582"/>
    <w:rsid w:val="005A2300"/>
    <w:rsid w:val="005A4EFF"/>
    <w:rsid w:val="005A673D"/>
    <w:rsid w:val="005A6814"/>
    <w:rsid w:val="005A6A7A"/>
    <w:rsid w:val="005A6D03"/>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3683"/>
    <w:rsid w:val="006C43AD"/>
    <w:rsid w:val="006C7BBC"/>
    <w:rsid w:val="006C7CC5"/>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38A5"/>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1DB2"/>
    <w:rsid w:val="007D4211"/>
    <w:rsid w:val="007D4242"/>
    <w:rsid w:val="007D6AE2"/>
    <w:rsid w:val="007E0EAC"/>
    <w:rsid w:val="007E322B"/>
    <w:rsid w:val="007E36E4"/>
    <w:rsid w:val="007E3924"/>
    <w:rsid w:val="007E6C99"/>
    <w:rsid w:val="007E72B5"/>
    <w:rsid w:val="007F471B"/>
    <w:rsid w:val="007F4DF0"/>
    <w:rsid w:val="00800AA6"/>
    <w:rsid w:val="0080127D"/>
    <w:rsid w:val="00802079"/>
    <w:rsid w:val="008037D2"/>
    <w:rsid w:val="00805BD9"/>
    <w:rsid w:val="0080799D"/>
    <w:rsid w:val="00815095"/>
    <w:rsid w:val="00820570"/>
    <w:rsid w:val="008239D6"/>
    <w:rsid w:val="00823A6C"/>
    <w:rsid w:val="0082403C"/>
    <w:rsid w:val="00825792"/>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0FD7"/>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D54C7"/>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5966"/>
    <w:rsid w:val="00A17AE4"/>
    <w:rsid w:val="00A238BE"/>
    <w:rsid w:val="00A25D5D"/>
    <w:rsid w:val="00A25DFC"/>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25ED"/>
    <w:rsid w:val="00A73ABE"/>
    <w:rsid w:val="00A7611F"/>
    <w:rsid w:val="00A7703F"/>
    <w:rsid w:val="00A77E4C"/>
    <w:rsid w:val="00A820CD"/>
    <w:rsid w:val="00A841D0"/>
    <w:rsid w:val="00A93283"/>
    <w:rsid w:val="00A959C8"/>
    <w:rsid w:val="00A963E6"/>
    <w:rsid w:val="00AA141E"/>
    <w:rsid w:val="00AA7DD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0A07"/>
    <w:rsid w:val="00BC2FFE"/>
    <w:rsid w:val="00BC7B0A"/>
    <w:rsid w:val="00BD0032"/>
    <w:rsid w:val="00BD3EEA"/>
    <w:rsid w:val="00BD7BD4"/>
    <w:rsid w:val="00BE0367"/>
    <w:rsid w:val="00BE1895"/>
    <w:rsid w:val="00BE2F8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27FAA"/>
    <w:rsid w:val="00C31C5E"/>
    <w:rsid w:val="00C345D9"/>
    <w:rsid w:val="00C356F4"/>
    <w:rsid w:val="00C36BE3"/>
    <w:rsid w:val="00C40584"/>
    <w:rsid w:val="00C42201"/>
    <w:rsid w:val="00C426D8"/>
    <w:rsid w:val="00C444E4"/>
    <w:rsid w:val="00C45B22"/>
    <w:rsid w:val="00C47971"/>
    <w:rsid w:val="00C50586"/>
    <w:rsid w:val="00C51454"/>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A5C17"/>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174DF"/>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1F39"/>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5609"/>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35E4F"/>
    <w:rsid w:val="00E40905"/>
    <w:rsid w:val="00E41CA1"/>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24DE"/>
    <w:rsid w:val="00EA2BB7"/>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134D5984E0B1EC4B9F7B3777BF5994F7" ma:contentTypeVersion="4" ma:contentTypeDescription="CT_Attachments" ma:contentTypeScope="" ma:versionID="d69ca55935abad778382dfd8c6dba514">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19C058D7-8862-4043-83BC-A4CAB3623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F46083E4-8485-419C-ACB3-26DF2A965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20</Pages>
  <Words>8864</Words>
  <Characters>52301</Characters>
  <Application>Microsoft Office Word</Application>
  <DocSecurity>0</DocSecurity>
  <Lines>435</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3. 2020) ČISTOPIS</vt:lpstr>
    </vt:vector>
  </TitlesOfParts>
  <Company/>
  <LinksUpToDate>false</LinksUpToDate>
  <CharactersWithSpaces>61043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3. 2020) ČISTOPIS</dc:title>
  <dc:creator>Strolená Irena Ing.</dc:creator>
  <cp:lastModifiedBy>Kratochvílová Barbora Bc.</cp:lastModifiedBy>
  <cp:revision>27</cp:revision>
  <cp:lastPrinted>2020-02-11T09:19:00Z</cp:lastPrinted>
  <dcterms:created xsi:type="dcterms:W3CDTF">2020-02-28T11:44:00Z</dcterms:created>
  <dcterms:modified xsi:type="dcterms:W3CDTF">2020-06-17T08:54:00Z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0x01010076AB14D9073B4598A883CEA47FB210EA00134D5984E0B1EC4B9F7B3777BF5994F7</vt:lpwstr>
  </property>
</Properties>
</file>