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F36A9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správy budov Kydlinovská a Haškova, Hradec Králové (2020-2023)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F36A9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6A98">
              <w:rPr>
                <w:rFonts w:ascii="Arial" w:hAnsi="Arial" w:cs="Arial"/>
                <w:sz w:val="20"/>
                <w:szCs w:val="20"/>
              </w:rPr>
              <w:t>SP438/2020-514101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 xml:space="preserve">výše uvedeného písm. </w:t>
      </w:r>
      <w:bookmarkStart w:id="0" w:name="_GoBack"/>
      <w:bookmarkEnd w:id="0"/>
      <w:r>
        <w:rPr>
          <w:rFonts w:ascii="Arial" w:hAnsi="Arial" w:cs="Arial"/>
          <w:highlight w:val="yellow"/>
        </w:rPr>
        <w:t>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A98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7DDD6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DF69D-8E45-4F82-807F-B10DE1231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7</cp:revision>
  <cp:lastPrinted>2018-01-29T13:44:00Z</cp:lastPrinted>
  <dcterms:created xsi:type="dcterms:W3CDTF">2018-02-07T11:39:00Z</dcterms:created>
  <dcterms:modified xsi:type="dcterms:W3CDTF">2020-02-20T13:08:00Z</dcterms:modified>
</cp:coreProperties>
</file>