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9068A" w:rsidRDefault="00A9068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68A">
              <w:rPr>
                <w:rFonts w:ascii="Arial" w:hAnsi="Arial" w:cs="Arial"/>
                <w:sz w:val="22"/>
                <w:szCs w:val="22"/>
              </w:rPr>
              <w:t>Komplexní pozemkové úpravy v k. ú. Semčice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9068A" w:rsidRDefault="00A9068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68A">
              <w:rPr>
                <w:rFonts w:ascii="Arial" w:hAnsi="Arial" w:cs="Arial"/>
                <w:sz w:val="22"/>
                <w:szCs w:val="22"/>
              </w:rPr>
              <w:t>SP12247/2019-537101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A9068A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</w:t>
            </w:r>
          </w:p>
        </w:tc>
        <w:tc>
          <w:tcPr>
            <w:tcW w:w="3118" w:type="dxa"/>
          </w:tcPr>
          <w:p w:rsidR="00857616" w:rsidRPr="00037712" w:rsidRDefault="00A9068A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….. měsíců</w:t>
            </w: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753AD7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3AD7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68A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27874-A7A0-4F9D-802A-67622A8A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2019-06-27T08:13:00Z</dcterms:created>
  <dcterms:modified xsi:type="dcterms:W3CDTF">2019-07-01T05:34:00Z</dcterms:modified>
</cp:coreProperties>
</file>