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49" w:rsidRPr="002D2E40" w:rsidRDefault="006D3449" w:rsidP="00170D32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rFonts w:ascii="Arial" w:hAnsi="Arial" w:cs="Arial"/>
          <w:sz w:val="22"/>
          <w:szCs w:val="22"/>
        </w:rPr>
        <w:tab/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170D32">
        <w:rPr>
          <w:b/>
          <w:spacing w:val="20"/>
          <w:sz w:val="28"/>
          <w:szCs w:val="28"/>
        </w:rPr>
        <w:t xml:space="preserve">NÁVRH </w:t>
      </w:r>
      <w:r w:rsidR="006D3449" w:rsidRPr="002D2E40">
        <w:rPr>
          <w:b/>
          <w:spacing w:val="20"/>
          <w:sz w:val="28"/>
          <w:szCs w:val="28"/>
        </w:rPr>
        <w:t>SMLOUV</w:t>
      </w:r>
      <w:r w:rsidR="00170D32">
        <w:rPr>
          <w:b/>
          <w:spacing w:val="20"/>
          <w:sz w:val="28"/>
          <w:szCs w:val="28"/>
        </w:rPr>
        <w:t>Y</w:t>
      </w:r>
      <w:r w:rsidR="006D3449" w:rsidRPr="002D2E40">
        <w:rPr>
          <w:b/>
          <w:spacing w:val="20"/>
          <w:sz w:val="28"/>
          <w:szCs w:val="28"/>
        </w:rPr>
        <w:t xml:space="preserve">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6D3449" w:rsidRPr="00EE036F" w:rsidRDefault="006D3449" w:rsidP="006D3449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>Státní pozemkový úřad, Krajský p</w:t>
      </w:r>
      <w:r w:rsidRPr="002D2E40">
        <w:rPr>
          <w:snapToGrid w:val="0"/>
          <w:sz w:val="22"/>
          <w:szCs w:val="22"/>
        </w:rPr>
        <w:t xml:space="preserve">ozemkový úřad </w:t>
      </w:r>
      <w:r w:rsidR="00702DF8">
        <w:rPr>
          <w:snapToGrid w:val="0"/>
          <w:sz w:val="22"/>
          <w:szCs w:val="22"/>
        </w:rPr>
        <w:t>Plzeňského kraje</w:t>
      </w:r>
      <w:r w:rsidR="00F62FCC" w:rsidRPr="00EE036F">
        <w:rPr>
          <w:snapToGrid w:val="0"/>
          <w:sz w:val="22"/>
          <w:szCs w:val="22"/>
        </w:rPr>
        <w:t xml:space="preserve"> </w:t>
      </w:r>
      <w:r w:rsidRPr="00EE036F">
        <w:rPr>
          <w:snapToGrid w:val="0"/>
          <w:sz w:val="22"/>
          <w:szCs w:val="22"/>
        </w:rPr>
        <w:tab/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>mkový úřad, Husinecká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170D32">
        <w:rPr>
          <w:sz w:val="22"/>
          <w:szCs w:val="22"/>
        </w:rPr>
        <w:t>Ing. Jiřím Papežem, ředitelem KPÚ</w:t>
      </w:r>
    </w:p>
    <w:p w:rsidR="006D344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170D32">
        <w:rPr>
          <w:sz w:val="22"/>
          <w:szCs w:val="22"/>
        </w:rPr>
        <w:t>Ing. Jiří Papež, ředitel KPÚ</w:t>
      </w:r>
    </w:p>
    <w:p w:rsidR="006D3449" w:rsidRPr="002D2E40" w:rsidRDefault="006D3449" w:rsidP="00C15123">
      <w:pPr>
        <w:pStyle w:val="Bezmezer"/>
        <w:tabs>
          <w:tab w:val="left" w:pos="4536"/>
        </w:tabs>
        <w:ind w:left="4530" w:hanging="4530"/>
        <w:jc w:val="left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bookmarkStart w:id="0" w:name="_GoBack"/>
      <w:bookmarkEnd w:id="0"/>
      <w:r w:rsidR="00170D32">
        <w:rPr>
          <w:snapToGrid w:val="0"/>
          <w:sz w:val="22"/>
          <w:szCs w:val="22"/>
        </w:rPr>
        <w:t>Ing. Jan Kaiser, pověřen vedením Pobočky Domažlice</w:t>
      </w:r>
      <w:r w:rsidR="00FC65EE"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proofErr w:type="spellStart"/>
      <w:r w:rsidR="00170D32">
        <w:rPr>
          <w:sz w:val="22"/>
          <w:szCs w:val="22"/>
        </w:rPr>
        <w:t>Haltravská</w:t>
      </w:r>
      <w:proofErr w:type="spellEnd"/>
      <w:r w:rsidR="00170D32">
        <w:rPr>
          <w:sz w:val="22"/>
          <w:szCs w:val="22"/>
        </w:rPr>
        <w:t xml:space="preserve"> 438, Domažlice</w:t>
      </w:r>
      <w:r w:rsidR="00170D32">
        <w:rPr>
          <w:sz w:val="22"/>
          <w:szCs w:val="22"/>
        </w:rPr>
        <w:tab/>
      </w:r>
      <w:r w:rsidR="00170D32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E20203">
        <w:rPr>
          <w:sz w:val="22"/>
          <w:szCs w:val="22"/>
        </w:rPr>
        <w:t> 727 956 737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170D32">
        <w:rPr>
          <w:sz w:val="22"/>
          <w:szCs w:val="22"/>
        </w:rPr>
        <w:t>domazlice.pk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(úředně oprávněná) za zpracování návrhu </w:t>
      </w:r>
      <w:proofErr w:type="spellStart"/>
      <w:r>
        <w:rPr>
          <w:sz w:val="22"/>
          <w:szCs w:val="22"/>
        </w:rPr>
        <w:t>KoPÚ</w:t>
      </w:r>
      <w:proofErr w:type="spellEnd"/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>
        <w:rPr>
          <w:sz w:val="22"/>
          <w:szCs w:val="22"/>
        </w:rPr>
        <w:t>KoPÚ</w:t>
      </w:r>
      <w:proofErr w:type="spellEnd"/>
      <w:r>
        <w:rPr>
          <w:sz w:val="22"/>
          <w:szCs w:val="22"/>
        </w:rPr>
        <w:t xml:space="preserve">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25447D" w:rsidRPr="002D2E40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>Komplexních pozemkových úprav v katastrálním území</w:t>
      </w:r>
      <w:r w:rsidR="00702DF8">
        <w:rPr>
          <w:b/>
          <w:snapToGrid w:val="0"/>
          <w:sz w:val="22"/>
          <w:szCs w:val="22"/>
        </w:rPr>
        <w:t xml:space="preserve"> Semněvice</w:t>
      </w:r>
      <w:r w:rsidR="00FC65EE" w:rsidRPr="002D2E40">
        <w:rPr>
          <w:b/>
          <w:snapToGrid w:val="0"/>
          <w:sz w:val="22"/>
          <w:szCs w:val="22"/>
        </w:rPr>
        <w:t>“</w:t>
      </w:r>
      <w:r w:rsidR="00EE036F">
        <w:rPr>
          <w:b/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(dále jen „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>“</w:t>
      </w:r>
      <w:r w:rsidR="00C53C8F" w:rsidRPr="002D2E40">
        <w:rPr>
          <w:snapToGrid w:val="0"/>
          <w:sz w:val="22"/>
          <w:szCs w:val="22"/>
        </w:rPr>
        <w:t xml:space="preserve">) včetně nezbytných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 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 xml:space="preserve">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>s </w:t>
      </w:r>
      <w:proofErr w:type="spellStart"/>
      <w:r w:rsidR="003C4D9B" w:rsidRPr="002D2E40">
        <w:rPr>
          <w:sz w:val="22"/>
          <w:szCs w:val="22"/>
        </w:rPr>
        <w:t>ust</w:t>
      </w:r>
      <w:proofErr w:type="spellEnd"/>
      <w:r w:rsidR="003C4D9B" w:rsidRPr="002D2E40">
        <w:rPr>
          <w:sz w:val="22"/>
          <w:szCs w:val="22"/>
        </w:rPr>
        <w:t xml:space="preserve">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2D2E40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Pr="002D2E40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2D2E40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>Maximální hodnota opčního práva činí</w:t>
      </w:r>
      <w:r w:rsidR="00E31C8F">
        <w:rPr>
          <w:sz w:val="22"/>
          <w:szCs w:val="22"/>
        </w:rPr>
        <w:t xml:space="preserve"> </w:t>
      </w:r>
      <w:r w:rsidR="00C92FE4">
        <w:rPr>
          <w:sz w:val="22"/>
          <w:szCs w:val="22"/>
        </w:rPr>
        <w:t>140 000,-</w:t>
      </w:r>
      <w:r w:rsidRPr="002D2E40">
        <w:rPr>
          <w:sz w:val="22"/>
          <w:szCs w:val="22"/>
        </w:rPr>
        <w:t xml:space="preserve"> Kč bez DPH. Pře</w:t>
      </w:r>
      <w:r w:rsidR="004578AA" w:rsidRPr="002D2E40">
        <w:rPr>
          <w:sz w:val="22"/>
          <w:szCs w:val="22"/>
        </w:rPr>
        <w:t>s</w:t>
      </w:r>
      <w:r w:rsidRPr="002D2E40">
        <w:rPr>
          <w:sz w:val="22"/>
          <w:szCs w:val="22"/>
        </w:rPr>
        <w:t>ná</w:t>
      </w:r>
      <w:r w:rsidR="004578AA" w:rsidRPr="002D2E40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……………..</w:t>
      </w:r>
      <w:r w:rsidR="00C332FF">
        <w:rPr>
          <w:snapToGrid w:val="0"/>
          <w:sz w:val="22"/>
          <w:szCs w:val="22"/>
        </w:rPr>
        <w:t>2014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883CB1" w:rsidRPr="002D2E40">
        <w:rPr>
          <w:sz w:val="22"/>
          <w:szCs w:val="22"/>
        </w:rPr>
        <w:t>, je zhotovitel povinen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Pr="002D2E40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</w:t>
      </w:r>
      <w:r w:rsidRPr="002D2E40">
        <w:rPr>
          <w:sz w:val="22"/>
          <w:szCs w:val="22"/>
        </w:rPr>
        <w:lastRenderedPageBreak/>
        <w:t xml:space="preserve">Sb., ve  znění pozdějších předpisů, Metodickým návodem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a Technickým standardem PSZ. V podrobnostech se rozsah, členění díla a struktura dokumentace díla řídí přílohou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Podrobné zaměření polohopisu v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883CB1" w:rsidRPr="00470319">
        <w:rPr>
          <w:sz w:val="22"/>
          <w:szCs w:val="22"/>
        </w:rPr>
        <w:t xml:space="preserve">11 odst. 1 </w:t>
      </w:r>
      <w:proofErr w:type="spellStart"/>
      <w:r w:rsidR="00883CB1" w:rsidRPr="00470319">
        <w:rPr>
          <w:sz w:val="22"/>
          <w:szCs w:val="22"/>
        </w:rPr>
        <w:t>vyhl</w:t>
      </w:r>
      <w:proofErr w:type="spellEnd"/>
      <w:r w:rsidR="00883CB1" w:rsidRPr="00470319">
        <w:rPr>
          <w:sz w:val="22"/>
          <w:szCs w:val="22"/>
        </w:rPr>
        <w:t>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CE66C4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E66C4">
        <w:rPr>
          <w:sz w:val="22"/>
          <w:szCs w:val="22"/>
        </w:rPr>
        <w:t xml:space="preserve">Vypracování seznamu </w:t>
      </w:r>
      <w:r w:rsidR="00470319" w:rsidRPr="00CE66C4">
        <w:rPr>
          <w:sz w:val="22"/>
          <w:szCs w:val="22"/>
        </w:rPr>
        <w:t>účastníků řízení</w:t>
      </w:r>
      <w:r w:rsidRPr="00CE66C4">
        <w:rPr>
          <w:sz w:val="22"/>
          <w:szCs w:val="22"/>
        </w:rPr>
        <w:t xml:space="preserve"> pro úvodní jednání. Seznam stávajících věcných břemen. </w:t>
      </w:r>
    </w:p>
    <w:p w:rsidR="007530DC" w:rsidRPr="00CE66C4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E66C4">
        <w:rPr>
          <w:sz w:val="22"/>
          <w:szCs w:val="22"/>
        </w:rPr>
        <w:t>V</w:t>
      </w:r>
      <w:r w:rsidR="007530DC" w:rsidRPr="00CE66C4">
        <w:rPr>
          <w:sz w:val="22"/>
          <w:szCs w:val="22"/>
        </w:rPr>
        <w:t xml:space="preserve">ypracování a předání </w:t>
      </w:r>
      <w:r w:rsidRPr="00CE66C4">
        <w:rPr>
          <w:sz w:val="22"/>
          <w:szCs w:val="22"/>
        </w:rPr>
        <w:t>elaborátu zjišťování hranic</w:t>
      </w:r>
      <w:r w:rsidR="007530DC" w:rsidRPr="00CE66C4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</w:t>
      </w:r>
      <w:proofErr w:type="spellStart"/>
      <w:r w:rsidR="007530DC" w:rsidRPr="00CE66C4">
        <w:rPr>
          <w:sz w:val="22"/>
          <w:szCs w:val="22"/>
        </w:rPr>
        <w:t>KoPÚ</w:t>
      </w:r>
      <w:proofErr w:type="spellEnd"/>
      <w:r w:rsidR="007530DC" w:rsidRPr="00CE66C4">
        <w:rPr>
          <w:sz w:val="22"/>
          <w:szCs w:val="22"/>
        </w:rPr>
        <w:t>, předepsaná stabilizace</w:t>
      </w:r>
      <w:r w:rsidR="00470319" w:rsidRPr="00CE66C4">
        <w:rPr>
          <w:sz w:val="22"/>
          <w:szCs w:val="22"/>
        </w:rPr>
        <w:t>, vše</w:t>
      </w:r>
      <w:r w:rsidR="00B42F1F" w:rsidRPr="00CE66C4">
        <w:rPr>
          <w:sz w:val="22"/>
          <w:szCs w:val="22"/>
        </w:rPr>
        <w:t xml:space="preserve"> dle </w:t>
      </w:r>
      <w:proofErr w:type="spellStart"/>
      <w:r w:rsidR="00B42F1F" w:rsidRPr="00CE66C4">
        <w:rPr>
          <w:sz w:val="22"/>
          <w:szCs w:val="22"/>
        </w:rPr>
        <w:t>vyhl</w:t>
      </w:r>
      <w:proofErr w:type="spellEnd"/>
      <w:r w:rsidR="00B42F1F" w:rsidRPr="00CE66C4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Vypracování seznamu parcel dotčených pozemkovými úpravami pro vyznačení poznámky do KN</w:t>
      </w:r>
      <w:r w:rsidR="00CE66C4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lastRenderedPageBreak/>
        <w:t>Grafický přehled parcel, včetně parcel vedených ve zjednodušené evidenci včetně případného seznamu nesouladů graficky zobrazených parcel s obsahem souboru popisných informací (grafický přehled parcel bude průběžně aktualizován). Bude-li zjištěn rozdíl mez</w:t>
      </w:r>
      <w:r w:rsidR="004D032D" w:rsidRPr="00470319">
        <w:rPr>
          <w:sz w:val="22"/>
          <w:szCs w:val="22"/>
        </w:rPr>
        <w:t>i SPI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</w:t>
      </w:r>
      <w:r w:rsidR="00CE66C4">
        <w:rPr>
          <w:sz w:val="22"/>
          <w:szCs w:val="22"/>
        </w:rPr>
        <w:t xml:space="preserve">potvrzení o </w:t>
      </w:r>
      <w:r w:rsidRPr="00470319">
        <w:rPr>
          <w:sz w:val="22"/>
          <w:szCs w:val="22"/>
        </w:rPr>
        <w:t xml:space="preserve">předání soupisu nesouladů mezi SPI a SGI k řešení katastrálnímu úřadu a seznamu parcel pro vyznačení poznámky do KN.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Zjišťování hranic </w:t>
      </w:r>
      <w:r w:rsidR="004D032D" w:rsidRPr="002D2E40">
        <w:rPr>
          <w:sz w:val="22"/>
          <w:szCs w:val="22"/>
        </w:rPr>
        <w:t xml:space="preserve">včetně podrobného měření </w:t>
      </w:r>
      <w:r w:rsidRPr="002D2E40">
        <w:rPr>
          <w:sz w:val="22"/>
          <w:szCs w:val="22"/>
        </w:rPr>
        <w:t>pozemků, u kterých se provádí pouze obnova katastrálního operátu</w:t>
      </w:r>
      <w:r w:rsidR="00ED3BDB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bude provedeno v souladu </w:t>
      </w:r>
      <w:r w:rsidR="00883CB1" w:rsidRPr="002D2E40">
        <w:rPr>
          <w:sz w:val="22"/>
          <w:szCs w:val="22"/>
        </w:rPr>
        <w:t xml:space="preserve">s ustanovením §10 odst. 6 </w:t>
      </w:r>
      <w:proofErr w:type="spellStart"/>
      <w:r w:rsidR="00883CB1" w:rsidRPr="002D2E40">
        <w:rPr>
          <w:sz w:val="22"/>
          <w:szCs w:val="22"/>
        </w:rPr>
        <w:t>vyhl</w:t>
      </w:r>
      <w:proofErr w:type="spellEnd"/>
      <w:r w:rsidR="00883CB1" w:rsidRPr="002D2E40">
        <w:rPr>
          <w:sz w:val="22"/>
          <w:szCs w:val="22"/>
        </w:rPr>
        <w:t>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3 náležitosti návrhu pozemkových úprav přílohy č.</w:t>
      </w:r>
      <w:r w:rsidR="00883CB1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Sb.).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potřebných geometrických plánu pro rozdělení </w:t>
      </w:r>
      <w:r w:rsidR="00FF01EB" w:rsidRPr="00470319">
        <w:rPr>
          <w:sz w:val="22"/>
          <w:szCs w:val="22"/>
        </w:rPr>
        <w:t>pozemků</w:t>
      </w:r>
      <w:r w:rsidRPr="002D2E40">
        <w:rPr>
          <w:sz w:val="22"/>
          <w:szCs w:val="22"/>
        </w:rPr>
        <w:t xml:space="preserve"> na hranici mezi řešenými a neřešenými pozemky dle §2 zákona. 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 13/2014 Sb. a přílohy č. 2 této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 xml:space="preserve">. § 3 </w:t>
      </w:r>
      <w:proofErr w:type="spellStart"/>
      <w:r w:rsidR="00A0330B" w:rsidRPr="000671B4">
        <w:rPr>
          <w:sz w:val="22"/>
          <w:szCs w:val="22"/>
        </w:rPr>
        <w:t>odstv</w:t>
      </w:r>
      <w:proofErr w:type="spellEnd"/>
      <w:r w:rsidR="00A0330B" w:rsidRPr="000671B4">
        <w:rPr>
          <w:sz w:val="22"/>
          <w:szCs w:val="22"/>
        </w:rPr>
        <w:t>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CE66C4" w:rsidRPr="00241920" w:rsidRDefault="00CE66C4" w:rsidP="00CE66C4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v.v.i. Elaborát  bude  vypracován  v  souladu s 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 xml:space="preserve">.  § 8 zákona a § 11 a 12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  13/2014 Sb.</w:t>
      </w:r>
      <w:r w:rsidRPr="002D2E40">
        <w:rPr>
          <w:sz w:val="22"/>
          <w:szCs w:val="22"/>
        </w:rPr>
        <w:br/>
        <w:t xml:space="preserve">a přílohy č. 1 této vyhlášky. </w:t>
      </w:r>
    </w:p>
    <w:p w:rsidR="00CE66C4" w:rsidRPr="00CE66C4" w:rsidRDefault="00CE66C4" w:rsidP="00CE66C4">
      <w:pPr>
        <w:tabs>
          <w:tab w:val="left" w:pos="426"/>
        </w:tabs>
        <w:ind w:left="567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 souladu s § 9 zákona, § 15, § 16 vyhlášky č. 13/2004 Sb.,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</w:t>
      </w:r>
      <w:proofErr w:type="spellEnd"/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bude schválen zastupitelstvem příslušné obce na veřejném zasedání. Před schválením v zastupitelstvu obce </w:t>
      </w:r>
      <w:r w:rsidRPr="002D2E40">
        <w:rPr>
          <w:sz w:val="22"/>
          <w:szCs w:val="22"/>
        </w:rPr>
        <w:lastRenderedPageBreak/>
        <w:t xml:space="preserve">musí být kompletní návrh plánu společných zařízení projednán s dokumentační </w:t>
      </w:r>
      <w:r w:rsidR="00C03E4B">
        <w:rPr>
          <w:sz w:val="22"/>
          <w:szCs w:val="22"/>
        </w:rPr>
        <w:t>skupinou</w:t>
      </w:r>
      <w:r w:rsidRPr="002D2E40">
        <w:rPr>
          <w:sz w:val="22"/>
          <w:szCs w:val="22"/>
        </w:rPr>
        <w:t>, pokud je zřízena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elaborátu PSZ jsou i vyjádření orgánů a organi</w:t>
      </w:r>
      <w:r w:rsidR="00FB2294" w:rsidRPr="002D2E40">
        <w:rPr>
          <w:sz w:val="22"/>
          <w:szCs w:val="22"/>
        </w:rPr>
        <w:t>zací v průběhu zpracování plánu</w:t>
      </w:r>
      <w:r w:rsidR="00FB2294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013FCE" w:rsidRPr="002D2E40" w:rsidRDefault="007530DC" w:rsidP="00013FCE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Pro návrh vodohospodářských a dopravních opatřen</w:t>
      </w:r>
      <w:r w:rsidR="00796E55" w:rsidRPr="002D2E40">
        <w:rPr>
          <w:sz w:val="22"/>
          <w:szCs w:val="22"/>
        </w:rPr>
        <w:t>í zajistí zhotovitel předběžný</w:t>
      </w:r>
      <w:r w:rsidRPr="002D2E40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>
        <w:rPr>
          <w:sz w:val="22"/>
          <w:szCs w:val="22"/>
        </w:rPr>
        <w:t xml:space="preserve">a </w:t>
      </w:r>
      <w:r w:rsidR="000671B4" w:rsidRPr="002D2E40">
        <w:rPr>
          <w:sz w:val="22"/>
          <w:szCs w:val="22"/>
        </w:rPr>
        <w:t>rovněž jejich</w:t>
      </w:r>
      <w:r w:rsidRPr="002D2E40">
        <w:rPr>
          <w:sz w:val="22"/>
          <w:szCs w:val="22"/>
        </w:rPr>
        <w:t xml:space="preserve"> proveditelnost. </w:t>
      </w:r>
    </w:p>
    <w:p w:rsidR="00013FCE" w:rsidRPr="002D2E4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2D2E40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mimo trvalé a v trvalých porostech. Zaměření bude provedeno v nezbytném rozsahu u pozemků ohrožen</w:t>
      </w:r>
      <w:r w:rsidR="00013FCE" w:rsidRPr="002D2E40">
        <w:rPr>
          <w:sz w:val="22"/>
          <w:szCs w:val="22"/>
        </w:rPr>
        <w:t>ých vodní erozí</w:t>
      </w:r>
      <w:r w:rsidR="00013FCE" w:rsidRPr="002D2E40">
        <w:rPr>
          <w:sz w:val="22"/>
          <w:szCs w:val="22"/>
        </w:rPr>
        <w:br/>
        <w:t xml:space="preserve">nebo u pozemků, </w:t>
      </w:r>
      <w:r w:rsidRPr="002D2E40">
        <w:rPr>
          <w:sz w:val="22"/>
          <w:szCs w:val="22"/>
        </w:rPr>
        <w:t>na nichž se předpokládá výstavba a rea</w:t>
      </w:r>
      <w:r w:rsidR="00ED3BDB">
        <w:rPr>
          <w:sz w:val="22"/>
          <w:szCs w:val="22"/>
        </w:rPr>
        <w:t xml:space="preserve">lizace společných zařízení. 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liniových staveb (toky, komunikace, příkopy, </w:t>
      </w:r>
      <w:proofErr w:type="spellStart"/>
      <w:r w:rsidRPr="00C03E4B">
        <w:rPr>
          <w:bCs/>
          <w:sz w:val="22"/>
          <w:szCs w:val="22"/>
        </w:rPr>
        <w:t>průlehy</w:t>
      </w:r>
      <w:proofErr w:type="spellEnd"/>
      <w:r w:rsidRPr="00C03E4B">
        <w:rPr>
          <w:bCs/>
          <w:sz w:val="22"/>
          <w:szCs w:val="22"/>
        </w:rPr>
        <w:t xml:space="preserve"> apod.) společných zařízení pro stanovení ploch</w:t>
      </w:r>
      <w:r w:rsidR="00013FCE" w:rsidRPr="00C03E4B">
        <w:rPr>
          <w:bCs/>
          <w:sz w:val="22"/>
          <w:szCs w:val="22"/>
        </w:rPr>
        <w:t>y záboru půdy. To vše s ohledem</w:t>
      </w:r>
      <w:r w:rsidR="00013FCE" w:rsidRPr="00C03E4B">
        <w:rPr>
          <w:bCs/>
          <w:sz w:val="22"/>
          <w:szCs w:val="22"/>
        </w:rPr>
        <w:br/>
      </w:r>
      <w:r w:rsidRPr="00C03E4B">
        <w:rPr>
          <w:bCs/>
          <w:sz w:val="22"/>
          <w:szCs w:val="22"/>
        </w:rPr>
        <w:t xml:space="preserve">na potřeby správy a provozu jednotlivých dopravních staveb.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C03E4B">
        <w:rPr>
          <w:sz w:val="22"/>
          <w:szCs w:val="22"/>
        </w:rPr>
        <w:t>profilů</w:t>
      </w:r>
      <w:r w:rsidRPr="00C03E4B">
        <w:rPr>
          <w:sz w:val="22"/>
          <w:szCs w:val="22"/>
        </w:rPr>
        <w:t>. Příčné řezy budou vyhotoveny ke každému pod</w:t>
      </w:r>
      <w:r w:rsidR="00013FCE" w:rsidRPr="00C03E4B">
        <w:rPr>
          <w:sz w:val="22"/>
          <w:szCs w:val="22"/>
        </w:rPr>
        <w:t xml:space="preserve">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  <w:t xml:space="preserve">ve vzdálenosti </w:t>
      </w:r>
      <w:r w:rsidR="00993B8C" w:rsidRPr="00C03E4B">
        <w:rPr>
          <w:sz w:val="22"/>
          <w:szCs w:val="22"/>
        </w:rPr>
        <w:t xml:space="preserve">max. </w:t>
      </w:r>
      <w:r w:rsidRPr="00C03E4B">
        <w:rPr>
          <w:sz w:val="22"/>
          <w:szCs w:val="22"/>
        </w:rPr>
        <w:t xml:space="preserve">po 50 m a jsou </w:t>
      </w:r>
      <w:r w:rsidR="00ED3BDB">
        <w:rPr>
          <w:sz w:val="22"/>
          <w:szCs w:val="22"/>
        </w:rPr>
        <w:t xml:space="preserve">zahrnuty do kalkulace ceny. </w:t>
      </w:r>
    </w:p>
    <w:p w:rsidR="007530DC" w:rsidRPr="00C03E4B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C03E4B">
        <w:rPr>
          <w:bCs/>
          <w:sz w:val="22"/>
          <w:szCs w:val="22"/>
        </w:rPr>
        <w:t xml:space="preserve">Potřebné podélné </w:t>
      </w:r>
      <w:r w:rsidR="00993B8C" w:rsidRPr="00C03E4B">
        <w:rPr>
          <w:bCs/>
          <w:sz w:val="22"/>
          <w:szCs w:val="22"/>
        </w:rPr>
        <w:t xml:space="preserve">profily </w:t>
      </w:r>
      <w:r w:rsidRPr="00C03E4B">
        <w:rPr>
          <w:bCs/>
          <w:sz w:val="22"/>
          <w:szCs w:val="22"/>
        </w:rPr>
        <w:t xml:space="preserve">a příčné </w:t>
      </w:r>
      <w:r w:rsidR="00993B8C" w:rsidRPr="00C03E4B">
        <w:rPr>
          <w:bCs/>
          <w:sz w:val="22"/>
          <w:szCs w:val="22"/>
        </w:rPr>
        <w:t>řezy</w:t>
      </w:r>
      <w:r w:rsidRPr="00C03E4B">
        <w:rPr>
          <w:bCs/>
          <w:sz w:val="22"/>
          <w:szCs w:val="22"/>
        </w:rPr>
        <w:t xml:space="preserve"> vodohospodářských staveb </w:t>
      </w:r>
      <w:r w:rsidRPr="00C03E4B">
        <w:rPr>
          <w:bCs/>
          <w:i/>
          <w:sz w:val="22"/>
          <w:szCs w:val="22"/>
        </w:rPr>
        <w:t>(nádrže, poldry apod.)</w:t>
      </w:r>
      <w:r w:rsidRPr="00C03E4B">
        <w:rPr>
          <w:bCs/>
          <w:sz w:val="22"/>
          <w:szCs w:val="22"/>
        </w:rPr>
        <w:t xml:space="preserve"> společných zařízení pro stanovení plochy záboru půdy. </w:t>
      </w:r>
      <w:r w:rsidRPr="00C03E4B">
        <w:rPr>
          <w:sz w:val="22"/>
          <w:szCs w:val="22"/>
        </w:rPr>
        <w:t xml:space="preserve">Do předpokládaného počtu měrných jednotek v krycím listu nabídkové ceny je započítána </w:t>
      </w:r>
      <w:r w:rsidR="00C03E4B">
        <w:rPr>
          <w:sz w:val="22"/>
          <w:szCs w:val="22"/>
        </w:rPr>
        <w:t>pouze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vodorovná délka</w:t>
      </w:r>
      <w:r w:rsidRPr="00C03E4B">
        <w:rPr>
          <w:sz w:val="22"/>
          <w:szCs w:val="22"/>
        </w:rPr>
        <w:t xml:space="preserve"> </w:t>
      </w:r>
      <w:r w:rsidR="00C03E4B">
        <w:rPr>
          <w:sz w:val="22"/>
          <w:szCs w:val="22"/>
        </w:rPr>
        <w:t>podélných profilů</w:t>
      </w:r>
      <w:r w:rsidRPr="00C03E4B">
        <w:rPr>
          <w:sz w:val="22"/>
          <w:szCs w:val="22"/>
        </w:rPr>
        <w:t>. Příčné řezy budou vyhotoveny k</w:t>
      </w:r>
      <w:r w:rsidR="00013FCE" w:rsidRPr="00C03E4B">
        <w:rPr>
          <w:sz w:val="22"/>
          <w:szCs w:val="22"/>
        </w:rPr>
        <w:t xml:space="preserve">e každému podélnému </w:t>
      </w:r>
      <w:r w:rsidR="00993B8C" w:rsidRPr="00C03E4B">
        <w:rPr>
          <w:sz w:val="22"/>
          <w:szCs w:val="22"/>
        </w:rPr>
        <w:t>profilu</w:t>
      </w:r>
      <w:r w:rsidR="00013FCE" w:rsidRPr="00C03E4B">
        <w:rPr>
          <w:sz w:val="22"/>
          <w:szCs w:val="22"/>
        </w:rPr>
        <w:t xml:space="preserve"> </w:t>
      </w:r>
      <w:r w:rsidR="00013FCE" w:rsidRPr="00C03E4B">
        <w:rPr>
          <w:sz w:val="22"/>
          <w:szCs w:val="22"/>
        </w:rPr>
        <w:br/>
      </w:r>
      <w:r w:rsidRPr="00C03E4B">
        <w:rPr>
          <w:sz w:val="22"/>
          <w:szCs w:val="22"/>
        </w:rPr>
        <w:t xml:space="preserve">ve vzdálenosti max. po </w:t>
      </w:r>
      <w:r w:rsidR="00993B8C" w:rsidRPr="00C03E4B">
        <w:rPr>
          <w:sz w:val="22"/>
          <w:szCs w:val="22"/>
        </w:rPr>
        <w:t>20</w:t>
      </w:r>
      <w:r w:rsidRPr="00C03E4B">
        <w:rPr>
          <w:sz w:val="22"/>
          <w:szCs w:val="22"/>
        </w:rPr>
        <w:t xml:space="preserve"> m a jsou </w:t>
      </w:r>
      <w:r w:rsidR="00ED3BDB">
        <w:rPr>
          <w:sz w:val="22"/>
          <w:szCs w:val="22"/>
        </w:rPr>
        <w:t xml:space="preserve">zahrnuty do kalkulace ceny. </w:t>
      </w: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 a přílohou č. 3 této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 xml:space="preserve">. § 1 </w:t>
      </w:r>
      <w:proofErr w:type="spellStart"/>
      <w:r w:rsidR="00DD64A1" w:rsidRPr="00C03E4B">
        <w:rPr>
          <w:sz w:val="22"/>
          <w:szCs w:val="22"/>
        </w:rPr>
        <w:t>odstv</w:t>
      </w:r>
      <w:proofErr w:type="spellEnd"/>
      <w:r w:rsidR="00DD64A1" w:rsidRPr="00C03E4B">
        <w:rPr>
          <w:sz w:val="22"/>
          <w:szCs w:val="22"/>
        </w:rPr>
        <w:t>.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Kompletní dokumentace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bodu VIII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>, a to v počtu a formě stanovené čl. IV této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Provedení úprav návrhu na základě námitek a připomínek podle §11 odst. 1 a odst. 2 zákona č. 139/2002 Sb. Dokumentace návrhu nového uspořádání pozemků bude v rozsahu uvedeném v bodech 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>. č. 13/2014 Sb. a to v počtu a formě stanovené čl. IV této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E20203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Pr="002D2E40" w:rsidRDefault="007530DC" w:rsidP="00E20203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E20203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E20203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E20203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E20203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v.v.i.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9F3142" w:rsidRPr="00B05EE1" w:rsidRDefault="007530DC" w:rsidP="00E20203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 xml:space="preserve">nejpozději do </w:t>
      </w:r>
      <w:r w:rsidR="0022689A">
        <w:rPr>
          <w:sz w:val="22"/>
          <w:szCs w:val="22"/>
        </w:rPr>
        <w:t>3</w:t>
      </w:r>
      <w:r w:rsidR="009F3142" w:rsidRPr="00B05EE1">
        <w:rPr>
          <w:sz w:val="22"/>
          <w:szCs w:val="22"/>
        </w:rPr>
        <w:t xml:space="preserve"> měsíců od </w:t>
      </w:r>
      <w:r w:rsidR="0022689A">
        <w:rPr>
          <w:sz w:val="22"/>
          <w:szCs w:val="22"/>
        </w:rPr>
        <w:t>výzvy zadavatele</w:t>
      </w:r>
      <w:r w:rsidR="009F3142" w:rsidRPr="00B05EE1">
        <w:rPr>
          <w:sz w:val="22"/>
          <w:szCs w:val="22"/>
        </w:rPr>
        <w:t>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E20203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E20203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 357/2013 Sb. v digitální podobě</w:t>
      </w:r>
      <w:r w:rsidR="002F5D6F" w:rsidRPr="00B05EE1">
        <w:rPr>
          <w:sz w:val="22"/>
          <w:szCs w:val="22"/>
        </w:rPr>
        <w:t xml:space="preserve"> ve struktuře dat podle přílohy č.56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E20203">
      <w:pPr>
        <w:pStyle w:val="Odstavecseseznamem"/>
        <w:spacing w:before="0" w:afterLines="60"/>
        <w:ind w:left="709"/>
        <w:rPr>
          <w:sz w:val="22"/>
          <w:szCs w:val="22"/>
        </w:rPr>
      </w:pPr>
    </w:p>
    <w:p w:rsidR="00395737" w:rsidRDefault="00395737" w:rsidP="00E20203">
      <w:pPr>
        <w:spacing w:before="0" w:afterLines="60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Default="007530DC" w:rsidP="007530DC">
      <w:pPr>
        <w:ind w:left="0"/>
        <w:rPr>
          <w:b/>
          <w:bCs/>
          <w:sz w:val="22"/>
          <w:szCs w:val="22"/>
        </w:rPr>
      </w:pPr>
    </w:p>
    <w:p w:rsidR="00F755B1" w:rsidRPr="002D2E40" w:rsidRDefault="00F755B1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D97E25" w:rsidRPr="00D97E25" w:rsidRDefault="003D0898" w:rsidP="00E2020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Jednotlivé dílčí části</w:t>
      </w:r>
      <w:r w:rsidR="007530DC" w:rsidRPr="002D2E40">
        <w:rPr>
          <w:sz w:val="22"/>
          <w:szCs w:val="22"/>
        </w:rPr>
        <w:t xml:space="preserve"> budou předány v klasické formě písemného a grafického zpr</w:t>
      </w:r>
      <w:r w:rsidR="0025447D" w:rsidRPr="002D2E40">
        <w:rPr>
          <w:sz w:val="22"/>
          <w:szCs w:val="22"/>
        </w:rPr>
        <w:t>acování</w:t>
      </w:r>
      <w:r w:rsidR="0025447D" w:rsidRPr="002D2E40">
        <w:rPr>
          <w:sz w:val="22"/>
          <w:szCs w:val="22"/>
        </w:rPr>
        <w:br/>
      </w:r>
      <w:r w:rsidR="007530DC" w:rsidRPr="002D2E40">
        <w:rPr>
          <w:sz w:val="22"/>
          <w:szCs w:val="22"/>
        </w:rPr>
        <w:t xml:space="preserve">na papíře. Dále budou dílčí </w:t>
      </w:r>
      <w:r w:rsidR="006C529E">
        <w:rPr>
          <w:sz w:val="22"/>
          <w:szCs w:val="22"/>
        </w:rPr>
        <w:t xml:space="preserve">části </w:t>
      </w:r>
      <w:r w:rsidR="007530DC" w:rsidRPr="002D2E40">
        <w:rPr>
          <w:sz w:val="22"/>
          <w:szCs w:val="22"/>
        </w:rPr>
        <w:t xml:space="preserve">předány v digitální </w:t>
      </w:r>
      <w:r w:rsidR="0025447D" w:rsidRPr="002D2E40">
        <w:rPr>
          <w:sz w:val="22"/>
          <w:szCs w:val="22"/>
        </w:rPr>
        <w:t>podobě ve výměnném formátu VFP</w:t>
      </w:r>
      <w:r w:rsidR="006C529E">
        <w:rPr>
          <w:sz w:val="22"/>
          <w:szCs w:val="22"/>
        </w:rPr>
        <w:t xml:space="preserve"> společně s údaji souboru popisných informací katastru nemovitostí (SPI KN)</w:t>
      </w:r>
      <w:r w:rsidR="00ED3BDB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>ve formátu VFK,  v</w:t>
      </w:r>
      <w:r w:rsidR="00ED3BDB">
        <w:rPr>
          <w:sz w:val="22"/>
          <w:szCs w:val="22"/>
        </w:rPr>
        <w:t> </w:t>
      </w:r>
      <w:r w:rsidR="00D97E25">
        <w:rPr>
          <w:sz w:val="22"/>
          <w:szCs w:val="22"/>
        </w:rPr>
        <w:t>souladu</w:t>
      </w:r>
      <w:r w:rsidR="00ED3BDB">
        <w:rPr>
          <w:sz w:val="22"/>
          <w:szCs w:val="22"/>
        </w:rPr>
        <w:t xml:space="preserve"> s</w:t>
      </w:r>
      <w:r w:rsidR="00D97E25">
        <w:rPr>
          <w:sz w:val="22"/>
          <w:szCs w:val="22"/>
        </w:rPr>
        <w:t xml:space="preserve"> </w:t>
      </w:r>
      <w:r w:rsidR="00D97E25" w:rsidRPr="002D2E40">
        <w:rPr>
          <w:sz w:val="22"/>
          <w:szCs w:val="22"/>
        </w:rPr>
        <w:t>platným metodickým pokynem SPÚ, na paměťovém mediu, a současně bude předána textová část ve formátu *.doc(x)  nebo kompatibilní s textovým editorem Word, tabulková část ve formátu *.</w:t>
      </w:r>
      <w:proofErr w:type="spellStart"/>
      <w:r w:rsidR="00D97E25" w:rsidRPr="002D2E40">
        <w:rPr>
          <w:sz w:val="22"/>
          <w:szCs w:val="22"/>
        </w:rPr>
        <w:t>xls</w:t>
      </w:r>
      <w:proofErr w:type="spellEnd"/>
      <w:r w:rsidR="00D97E25" w:rsidRPr="002D2E40">
        <w:rPr>
          <w:sz w:val="22"/>
          <w:szCs w:val="22"/>
        </w:rPr>
        <w:t>(x) nebo kompatibilní s programem Excel</w:t>
      </w:r>
      <w:r w:rsidR="00D97E25">
        <w:rPr>
          <w:sz w:val="22"/>
          <w:szCs w:val="22"/>
        </w:rPr>
        <w:t xml:space="preserve">. </w:t>
      </w:r>
      <w:r w:rsidR="00D97E25" w:rsidRPr="00D97E25">
        <w:rPr>
          <w:sz w:val="22"/>
          <w:szCs w:val="22"/>
        </w:rPr>
        <w:t xml:space="preserve">Seznam parcel řešených v obvodu </w:t>
      </w:r>
      <w:proofErr w:type="spellStart"/>
      <w:r w:rsidR="00D97E25" w:rsidRPr="00D97E25">
        <w:rPr>
          <w:sz w:val="22"/>
          <w:szCs w:val="22"/>
        </w:rPr>
        <w:t>KoP</w:t>
      </w:r>
      <w:r w:rsidR="00ED3BDB">
        <w:rPr>
          <w:sz w:val="22"/>
          <w:szCs w:val="22"/>
        </w:rPr>
        <w:t>Ú</w:t>
      </w:r>
      <w:proofErr w:type="spellEnd"/>
      <w:r w:rsidR="00D97E25" w:rsidRPr="00D97E2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="00D97E25" w:rsidRPr="00D97E25">
        <w:rPr>
          <w:sz w:val="22"/>
          <w:szCs w:val="22"/>
        </w:rPr>
        <w:t>csv</w:t>
      </w:r>
      <w:proofErr w:type="spellEnd"/>
      <w:r w:rsidR="00D97E25" w:rsidRPr="00D97E2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="00D97E25" w:rsidRPr="00D97E25">
        <w:rPr>
          <w:sz w:val="22"/>
          <w:szCs w:val="22"/>
        </w:rPr>
        <w:t>pdf</w:t>
      </w:r>
      <w:proofErr w:type="spellEnd"/>
      <w:r w:rsidR="00D97E25" w:rsidRPr="00D97E2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  <w:r w:rsidR="00D97E25">
        <w:rPr>
          <w:sz w:val="22"/>
          <w:szCs w:val="22"/>
        </w:rPr>
        <w:t xml:space="preserve"> Dokumentace, u které se</w:t>
      </w:r>
      <w:r w:rsidR="00413A9D">
        <w:rPr>
          <w:sz w:val="22"/>
          <w:szCs w:val="22"/>
        </w:rPr>
        <w:t xml:space="preserve"> ne</w:t>
      </w:r>
      <w:r w:rsidR="00D97E25">
        <w:rPr>
          <w:sz w:val="22"/>
          <w:szCs w:val="22"/>
        </w:rPr>
        <w:t xml:space="preserve">vyžaduje předání ve formátu VFP (např. VH studie) se předává ve formátu </w:t>
      </w:r>
      <w:r w:rsidR="00D97E25" w:rsidRPr="002D2E40">
        <w:rPr>
          <w:sz w:val="22"/>
          <w:szCs w:val="22"/>
        </w:rPr>
        <w:t>*.</w:t>
      </w:r>
      <w:proofErr w:type="spellStart"/>
      <w:r w:rsidR="00D97E25" w:rsidRPr="002D2E40">
        <w:rPr>
          <w:sz w:val="22"/>
          <w:szCs w:val="22"/>
        </w:rPr>
        <w:t>dgn</w:t>
      </w:r>
      <w:proofErr w:type="spellEnd"/>
      <w:r w:rsidR="00D97E25">
        <w:rPr>
          <w:sz w:val="22"/>
          <w:szCs w:val="22"/>
        </w:rPr>
        <w:t xml:space="preserve"> a v souřadnicovém systému S-JTSK. </w:t>
      </w:r>
      <w:r w:rsidR="00D97E25" w:rsidRPr="00D97E25">
        <w:rPr>
          <w:sz w:val="22"/>
          <w:szCs w:val="22"/>
        </w:rPr>
        <w:t xml:space="preserve">   </w:t>
      </w:r>
    </w:p>
    <w:p w:rsidR="007530DC" w:rsidRPr="002D2E40" w:rsidRDefault="007530DC" w:rsidP="00E2020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Polohopi</w:t>
      </w:r>
      <w:r w:rsidR="0022689A">
        <w:rPr>
          <w:sz w:val="22"/>
          <w:szCs w:val="22"/>
        </w:rPr>
        <w:t>sné zaměření zájmového území - 1</w:t>
      </w:r>
      <w:r w:rsidRPr="002D2E40">
        <w:rPr>
          <w:sz w:val="22"/>
          <w:szCs w:val="22"/>
        </w:rPr>
        <w:t>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Upřesnění obvodu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Dokumentace nároků vlastníků (včetně map) - 3x papírové zpracování a CD (DVD).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plánu společných zařízení - 3x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návrhu nového uspořádání pozemků - 3x aktualizované papírové zpracování a CD (DVD).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>Předložení kompletní dokumentace návrhu nového uspořádání pozemků – 3x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2D2E40" w:rsidRDefault="000950B1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>
        <w:rPr>
          <w:sz w:val="22"/>
          <w:szCs w:val="22"/>
        </w:rPr>
        <w:t>Zpracování mapového díla - 1</w:t>
      </w:r>
      <w:r w:rsidR="007530DC" w:rsidRPr="002D2E40">
        <w:rPr>
          <w:sz w:val="22"/>
          <w:szCs w:val="22"/>
        </w:rPr>
        <w:t>x papírové zpracování a CD (DVD)</w:t>
      </w:r>
      <w:r w:rsidR="007530DC" w:rsidRPr="002D2E40">
        <w:rPr>
          <w:i/>
          <w:iCs/>
          <w:sz w:val="22"/>
          <w:szCs w:val="22"/>
        </w:rPr>
        <w:t>.</w:t>
      </w:r>
      <w:r w:rsidR="007530DC" w:rsidRPr="002D2E40">
        <w:rPr>
          <w:iCs/>
          <w:sz w:val="22"/>
          <w:szCs w:val="22"/>
        </w:rPr>
        <w:t xml:space="preserve"> Mapové dílo</w:t>
      </w:r>
      <w:r w:rsidR="007530DC"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="007530DC"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="007530DC" w:rsidRPr="002D2E40">
        <w:rPr>
          <w:sz w:val="22"/>
          <w:szCs w:val="22"/>
        </w:rPr>
        <w:t xml:space="preserve">ve výměnném formátu ISKN podle </w:t>
      </w:r>
      <w:proofErr w:type="spellStart"/>
      <w:r w:rsidR="007530DC" w:rsidRPr="002D2E40">
        <w:rPr>
          <w:sz w:val="22"/>
          <w:szCs w:val="22"/>
        </w:rPr>
        <w:t>vyhl</w:t>
      </w:r>
      <w:proofErr w:type="spellEnd"/>
      <w:r w:rsidR="007530DC" w:rsidRPr="002D2E40">
        <w:rPr>
          <w:sz w:val="22"/>
          <w:szCs w:val="22"/>
        </w:rPr>
        <w:t xml:space="preserve">. č. 357/2013 Sb. </w:t>
      </w:r>
    </w:p>
    <w:p w:rsidR="007530DC" w:rsidRPr="002D2E40" w:rsidRDefault="007530DC" w:rsidP="00E2020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písemných příloh k rozhodnutí o výměně nebo přechodu vlastnických práv, určení výše úhrady a lhůty podle §10 odst. 2 zákona č. 139/2002 Sb. a o zřízení nebo zrušení věcného břemene - 3x papírové zpracování a CD (DVD).</w:t>
      </w:r>
    </w:p>
    <w:p w:rsidR="007530DC" w:rsidRPr="002D2E40" w:rsidRDefault="007530DC" w:rsidP="00E2020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Grafické výstupy budou zpracovány v měřítku stanoveném příslušným katastrálním úřadem. Návrh plánu společných zařízení v měřítku 1 : 2000 nebo 1 : 5000 (měřítka stanoví objednatel podle potřeby v průběhu zpracování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>).</w:t>
      </w:r>
    </w:p>
    <w:p w:rsidR="007530DC" w:rsidRPr="002D2E40" w:rsidRDefault="007530DC" w:rsidP="00E2020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Digitální soubory mapového díla i návrhu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E2020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E20203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E20203">
      <w:pPr>
        <w:pStyle w:val="Zkladntextodsazen2"/>
        <w:spacing w:before="0" w:afterLines="60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E20203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E20203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</w:t>
      </w:r>
      <w:r w:rsidR="00625D5C">
        <w:rPr>
          <w:snapToGrid w:val="0"/>
          <w:sz w:val="22"/>
          <w:szCs w:val="22"/>
        </w:rPr>
        <w:t xml:space="preserve"> </w:t>
      </w:r>
      <w:r w:rsidR="00A70202" w:rsidRPr="000B15EA">
        <w:rPr>
          <w:snapToGrid w:val="0"/>
          <w:sz w:val="22"/>
          <w:szCs w:val="22"/>
        </w:rPr>
        <w:t>- Pobočky</w:t>
      </w:r>
      <w:r w:rsidR="00F755B1">
        <w:rPr>
          <w:snapToGrid w:val="0"/>
          <w:sz w:val="22"/>
          <w:szCs w:val="22"/>
        </w:rPr>
        <w:t xml:space="preserve"> Domažlice </w:t>
      </w:r>
      <w:r w:rsidR="00A70202" w:rsidRPr="000B15EA">
        <w:rPr>
          <w:snapToGrid w:val="0"/>
          <w:sz w:val="22"/>
          <w:szCs w:val="22"/>
        </w:rPr>
        <w:t>adresa</w:t>
      </w:r>
      <w:r w:rsidR="00F755B1">
        <w:rPr>
          <w:snapToGrid w:val="0"/>
          <w:sz w:val="22"/>
          <w:szCs w:val="22"/>
        </w:rPr>
        <w:t xml:space="preserve"> </w:t>
      </w:r>
      <w:proofErr w:type="spellStart"/>
      <w:r w:rsidR="00F755B1">
        <w:rPr>
          <w:snapToGrid w:val="0"/>
          <w:sz w:val="22"/>
          <w:szCs w:val="22"/>
        </w:rPr>
        <w:t>Haltravská</w:t>
      </w:r>
      <w:proofErr w:type="spellEnd"/>
      <w:r w:rsidR="00F755B1">
        <w:rPr>
          <w:snapToGrid w:val="0"/>
          <w:sz w:val="22"/>
          <w:szCs w:val="22"/>
        </w:rPr>
        <w:t xml:space="preserve"> 438, 344 37 Domažlice. </w:t>
      </w:r>
      <w:r w:rsidR="00A70202" w:rsidRPr="000B15EA">
        <w:rPr>
          <w:snapToGrid w:val="0"/>
          <w:sz w:val="22"/>
          <w:szCs w:val="22"/>
        </w:rPr>
        <w:t xml:space="preserve">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E20203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3.2.1.  </w:t>
      </w:r>
      <w:r w:rsidRPr="00B65ECF">
        <w:rPr>
          <w:sz w:val="22"/>
          <w:szCs w:val="22"/>
        </w:rPr>
        <w:t>po schválení zastupitelstvem obce na veřejném zasedání (§ 9 odst. 11 zákona č. 139/2002 Sb.),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3.2.2. po odstranění připomínek k vystavenému návrhu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3.2.3. předložení kompletní dokumentace a kladného protokolu o převzetí dat ve VFP,</w:t>
      </w:r>
    </w:p>
    <w:p w:rsidR="005E7E1E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3.3. po provedení zápisu </w:t>
      </w:r>
      <w:proofErr w:type="spellStart"/>
      <w:r w:rsidR="000B15EA" w:rsidRPr="00B65ECF">
        <w:rPr>
          <w:sz w:val="22"/>
          <w:szCs w:val="22"/>
        </w:rPr>
        <w:t>KoPÚ</w:t>
      </w:r>
      <w:proofErr w:type="spellEnd"/>
      <w:r w:rsidR="000B15EA" w:rsidRPr="00B65ECF">
        <w:rPr>
          <w:sz w:val="22"/>
          <w:szCs w:val="22"/>
        </w:rPr>
        <w:t xml:space="preserve"> do katastru nemovitostí</w:t>
      </w:r>
      <w:r>
        <w:rPr>
          <w:sz w:val="22"/>
          <w:szCs w:val="22"/>
        </w:rPr>
        <w:t>,</w:t>
      </w:r>
    </w:p>
    <w:p w:rsidR="00B65ECF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0671B4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  po odevzdání aktualizované dokumentace soupisu nároků či aktualizovaného PSZ.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P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spellStart"/>
      <w:r w:rsidRPr="008056B8">
        <w:rPr>
          <w:sz w:val="22"/>
          <w:szCs w:val="22"/>
        </w:rPr>
        <w:t>KoPÚ</w:t>
      </w:r>
      <w:proofErr w:type="spellEnd"/>
      <w:r w:rsidRPr="008056B8">
        <w:rPr>
          <w:sz w:val="22"/>
          <w:szCs w:val="22"/>
        </w:rPr>
        <w:t xml:space="preserve"> do katastru nemovitostí.</w:t>
      </w:r>
    </w:p>
    <w:p w:rsidR="005A75A3" w:rsidRDefault="005A75A3" w:rsidP="00625D5C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</w:p>
    <w:p w:rsidR="00E802BE" w:rsidRPr="00625D5C" w:rsidRDefault="00E802BE" w:rsidP="00625D5C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5E7E1E" w:rsidRPr="00625D5C" w:rsidRDefault="005E7E1E" w:rsidP="00625D5C">
      <w:pPr>
        <w:ind w:left="0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lastRenderedPageBreak/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625D5C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CELKOVÁ CENA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="00625D5C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2D2E40">
        <w:rPr>
          <w:sz w:val="22"/>
          <w:szCs w:val="22"/>
        </w:rPr>
        <w:t>, nebo dojde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5E7E1E" w:rsidRPr="00E802BE" w:rsidRDefault="006D3449" w:rsidP="00E802BE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E802BE" w:rsidRDefault="00E802BE" w:rsidP="00E802BE">
      <w:pPr>
        <w:pStyle w:val="Odstavecseseznamem"/>
        <w:ind w:left="567"/>
        <w:rPr>
          <w:bCs/>
          <w:snapToGrid w:val="0"/>
          <w:sz w:val="22"/>
          <w:szCs w:val="22"/>
        </w:rPr>
      </w:pPr>
    </w:p>
    <w:p w:rsidR="00E802BE" w:rsidRDefault="00E802BE" w:rsidP="00E802BE">
      <w:pPr>
        <w:pStyle w:val="Odstavecseseznamem"/>
        <w:ind w:left="567"/>
        <w:rPr>
          <w:bCs/>
          <w:snapToGrid w:val="0"/>
          <w:sz w:val="22"/>
          <w:szCs w:val="22"/>
        </w:rPr>
      </w:pPr>
    </w:p>
    <w:p w:rsidR="00E802BE" w:rsidRPr="00E802BE" w:rsidRDefault="00E802BE" w:rsidP="00E802BE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lastRenderedPageBreak/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Vznik některé ze skutečností uvedených v odstavci 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lastRenderedPageBreak/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25447D" w:rsidRPr="00993870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                             </w:t>
      </w: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1406FD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</w:t>
      </w:r>
      <w:r w:rsidRPr="00CE4293">
        <w:rPr>
          <w:sz w:val="22"/>
          <w:szCs w:val="22"/>
        </w:rPr>
        <w:lastRenderedPageBreak/>
        <w:t>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05B6D" w:rsidRPr="00CE4293">
        <w:rPr>
          <w:sz w:val="22"/>
          <w:szCs w:val="22"/>
        </w:rPr>
        <w:t xml:space="preserve">nejméně </w:t>
      </w:r>
      <w:r w:rsidR="005246C9">
        <w:rPr>
          <w:sz w:val="22"/>
          <w:szCs w:val="22"/>
        </w:rPr>
        <w:t>3 000 000,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25447D" w:rsidRPr="002D2E40">
        <w:rPr>
          <w:sz w:val="22"/>
          <w:szCs w:val="22"/>
        </w:rPr>
        <w:t>těn ve smyslu tohoto ustanovení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</w:t>
      </w:r>
      <w:r w:rsidRPr="002D2E40">
        <w:rPr>
          <w:sz w:val="22"/>
          <w:szCs w:val="22"/>
        </w:rPr>
        <w:lastRenderedPageBreak/>
        <w:t xml:space="preserve">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993870" w:rsidRPr="001406FD" w:rsidRDefault="00993870" w:rsidP="001406FD">
      <w:pPr>
        <w:ind w:left="0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2727AA" w:rsidRPr="001406FD" w:rsidRDefault="006D3449" w:rsidP="001406F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1406FD" w:rsidRPr="001406FD" w:rsidRDefault="001406FD" w:rsidP="004B138A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1406FD" w:rsidRDefault="006D3449" w:rsidP="001406FD">
      <w:pPr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B138A">
        <w:rPr>
          <w:snapToGrid w:val="0"/>
          <w:sz w:val="22"/>
          <w:szCs w:val="22"/>
        </w:rPr>
        <w:t>Plzni</w:t>
      </w:r>
      <w:r w:rsidR="0032084D" w:rsidRPr="002D2E40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 dne ………………..</w:t>
      </w:r>
      <w:r w:rsidR="001406FD">
        <w:rPr>
          <w:snapToGrid w:val="0"/>
          <w:sz w:val="22"/>
          <w:szCs w:val="22"/>
        </w:rPr>
        <w:tab/>
      </w:r>
      <w:r w:rsidR="001406FD">
        <w:rPr>
          <w:snapToGrid w:val="0"/>
          <w:sz w:val="22"/>
          <w:szCs w:val="22"/>
        </w:rPr>
        <w:tab/>
      </w:r>
      <w:r w:rsidR="004B138A">
        <w:rPr>
          <w:snapToGrid w:val="0"/>
          <w:sz w:val="22"/>
          <w:szCs w:val="22"/>
        </w:rPr>
        <w:tab/>
      </w:r>
      <w:r w:rsidR="004B138A">
        <w:rPr>
          <w:snapToGrid w:val="0"/>
          <w:sz w:val="22"/>
          <w:szCs w:val="22"/>
        </w:rPr>
        <w:tab/>
      </w:r>
      <w:r w:rsidR="001406FD" w:rsidRPr="002D2E40">
        <w:rPr>
          <w:snapToGrid w:val="0"/>
          <w:sz w:val="22"/>
          <w:szCs w:val="22"/>
        </w:rPr>
        <w:t>V ...............................  dne ………………..</w:t>
      </w:r>
    </w:p>
    <w:p w:rsidR="001406FD" w:rsidRDefault="001406FD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1406FD" w:rsidRPr="002D2E40" w:rsidRDefault="001406FD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6D3449" w:rsidRPr="002D2E40" w:rsidRDefault="001406FD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1406FD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ředitel K</w:t>
      </w:r>
      <w:r>
        <w:rPr>
          <w:snapToGrid w:val="0"/>
          <w:sz w:val="22"/>
          <w:szCs w:val="22"/>
        </w:rPr>
        <w:t>PÚ pro Plzeňský kraj</w:t>
      </w:r>
    </w:p>
    <w:p w:rsidR="0025447D" w:rsidRPr="002D2E40" w:rsidRDefault="001406FD" w:rsidP="001406FD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Státní pozemkový úřad</w:t>
      </w:r>
      <w:r w:rsidR="006D3449" w:rsidRPr="002D2E40">
        <w:rPr>
          <w:snapToGrid w:val="0"/>
          <w:sz w:val="22"/>
          <w:szCs w:val="22"/>
        </w:rPr>
        <w:tab/>
      </w: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B93F8F" w:rsidRPr="004B138A" w:rsidRDefault="006D3449" w:rsidP="006A16EC">
      <w:pPr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1406FD">
        <w:rPr>
          <w:snapToGrid w:val="0"/>
          <w:sz w:val="22"/>
          <w:szCs w:val="22"/>
        </w:rPr>
        <w:t xml:space="preserve"> návrhu</w:t>
      </w:r>
      <w:r w:rsidR="00CE4293">
        <w:rPr>
          <w:snapToGrid w:val="0"/>
          <w:sz w:val="22"/>
          <w:szCs w:val="22"/>
        </w:rPr>
        <w:t> </w:t>
      </w:r>
      <w:proofErr w:type="spellStart"/>
      <w:r w:rsidR="00CE4293">
        <w:rPr>
          <w:snapToGrid w:val="0"/>
          <w:sz w:val="22"/>
          <w:szCs w:val="22"/>
        </w:rPr>
        <w:t>S</w:t>
      </w:r>
      <w:r w:rsidR="005502F4">
        <w:rPr>
          <w:snapToGrid w:val="0"/>
          <w:sz w:val="22"/>
          <w:szCs w:val="22"/>
        </w:rPr>
        <w:t>o</w:t>
      </w:r>
      <w:r w:rsidR="001406FD">
        <w:rPr>
          <w:snapToGrid w:val="0"/>
          <w:sz w:val="22"/>
          <w:szCs w:val="22"/>
        </w:rPr>
        <w:t>D</w:t>
      </w:r>
      <w:proofErr w:type="spellEnd"/>
      <w:r w:rsidR="001406FD">
        <w:rPr>
          <w:snapToGrid w:val="0"/>
          <w:sz w:val="22"/>
          <w:szCs w:val="22"/>
        </w:rPr>
        <w:t xml:space="preserve">, </w:t>
      </w:r>
      <w:proofErr w:type="spellStart"/>
      <w:r w:rsidR="001406FD">
        <w:rPr>
          <w:snapToGrid w:val="0"/>
          <w:sz w:val="22"/>
          <w:szCs w:val="22"/>
        </w:rPr>
        <w:t>KoPÚ</w:t>
      </w:r>
      <w:proofErr w:type="spellEnd"/>
      <w:r w:rsidR="001406FD">
        <w:rPr>
          <w:snapToGrid w:val="0"/>
          <w:sz w:val="22"/>
          <w:szCs w:val="22"/>
        </w:rPr>
        <w:t xml:space="preserve"> </w:t>
      </w:r>
      <w:proofErr w:type="spellStart"/>
      <w:r w:rsidR="001406FD">
        <w:rPr>
          <w:snapToGrid w:val="0"/>
          <w:sz w:val="22"/>
          <w:szCs w:val="22"/>
        </w:rPr>
        <w:t>Semněvice</w:t>
      </w:r>
      <w:proofErr w:type="spellEnd"/>
    </w:p>
    <w:sectPr w:rsidR="00B93F8F" w:rsidRPr="004B138A" w:rsidSect="0085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EF6" w:rsidRDefault="00665EF6" w:rsidP="00DE39C8">
      <w:pPr>
        <w:spacing w:before="0"/>
      </w:pPr>
      <w:r>
        <w:separator/>
      </w:r>
    </w:p>
  </w:endnote>
  <w:endnote w:type="continuationSeparator" w:id="0">
    <w:p w:rsidR="00665EF6" w:rsidRDefault="00665EF6" w:rsidP="00DE39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5B7" w:rsidRDefault="00B475B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94429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9B4AF9" w:rsidRDefault="009B4AF9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11427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14273">
              <w:rPr>
                <w:b/>
                <w:bCs/>
                <w:sz w:val="24"/>
                <w:szCs w:val="24"/>
              </w:rPr>
              <w:fldChar w:fldCharType="separate"/>
            </w:r>
            <w:r w:rsidR="00E20203">
              <w:rPr>
                <w:b/>
                <w:bCs/>
                <w:noProof/>
              </w:rPr>
              <w:t>2</w:t>
            </w:r>
            <w:r w:rsidR="0011427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1427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14273">
              <w:rPr>
                <w:b/>
                <w:bCs/>
                <w:sz w:val="24"/>
                <w:szCs w:val="24"/>
              </w:rPr>
              <w:fldChar w:fldCharType="separate"/>
            </w:r>
            <w:r w:rsidR="00E20203">
              <w:rPr>
                <w:b/>
                <w:bCs/>
                <w:noProof/>
              </w:rPr>
              <w:t>14</w:t>
            </w:r>
            <w:r w:rsidR="0011427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4AF9" w:rsidRDefault="009B4AF9" w:rsidP="00D56581">
    <w:pPr>
      <w:pStyle w:val="Zpat"/>
      <w:tabs>
        <w:tab w:val="clear" w:pos="4536"/>
      </w:tabs>
      <w:ind w:left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5B7" w:rsidRDefault="00B475B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EF6" w:rsidRDefault="00665EF6" w:rsidP="00DE39C8">
      <w:pPr>
        <w:spacing w:before="0"/>
      </w:pPr>
      <w:r>
        <w:separator/>
      </w:r>
    </w:p>
  </w:footnote>
  <w:footnote w:type="continuationSeparator" w:id="0">
    <w:p w:rsidR="00665EF6" w:rsidRDefault="00665EF6" w:rsidP="00DE39C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5B7" w:rsidRDefault="00B475B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5B7" w:rsidRDefault="00B475B7">
    <w:pPr>
      <w:pStyle w:val="Zhlav"/>
    </w:pPr>
    <w:r>
      <w:t>Příloha č.2, Část 2)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5B7" w:rsidRDefault="00B475B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D3449"/>
    <w:rsid w:val="00005ADA"/>
    <w:rsid w:val="00010E3D"/>
    <w:rsid w:val="00013FCE"/>
    <w:rsid w:val="00033344"/>
    <w:rsid w:val="00034CF3"/>
    <w:rsid w:val="00040E28"/>
    <w:rsid w:val="00042E96"/>
    <w:rsid w:val="0004428B"/>
    <w:rsid w:val="00064A43"/>
    <w:rsid w:val="000671B4"/>
    <w:rsid w:val="00071567"/>
    <w:rsid w:val="000950B1"/>
    <w:rsid w:val="00095B28"/>
    <w:rsid w:val="000B15EA"/>
    <w:rsid w:val="000B1D7C"/>
    <w:rsid w:val="000B3103"/>
    <w:rsid w:val="000B6910"/>
    <w:rsid w:val="000C431A"/>
    <w:rsid w:val="000D1183"/>
    <w:rsid w:val="000F4469"/>
    <w:rsid w:val="000F61AC"/>
    <w:rsid w:val="000F6361"/>
    <w:rsid w:val="00103409"/>
    <w:rsid w:val="00105003"/>
    <w:rsid w:val="00110450"/>
    <w:rsid w:val="00114273"/>
    <w:rsid w:val="001406FD"/>
    <w:rsid w:val="0014293B"/>
    <w:rsid w:val="0015143D"/>
    <w:rsid w:val="0015150A"/>
    <w:rsid w:val="001518EE"/>
    <w:rsid w:val="00153161"/>
    <w:rsid w:val="00156B42"/>
    <w:rsid w:val="00161700"/>
    <w:rsid w:val="00170D32"/>
    <w:rsid w:val="0019528F"/>
    <w:rsid w:val="0019675D"/>
    <w:rsid w:val="001A78C5"/>
    <w:rsid w:val="001C0FF9"/>
    <w:rsid w:val="001C25D0"/>
    <w:rsid w:val="001D0809"/>
    <w:rsid w:val="001D0F7C"/>
    <w:rsid w:val="001D6556"/>
    <w:rsid w:val="001E2FBA"/>
    <w:rsid w:val="001E5A33"/>
    <w:rsid w:val="001F05A5"/>
    <w:rsid w:val="0020156C"/>
    <w:rsid w:val="00206DD3"/>
    <w:rsid w:val="00225CE2"/>
    <w:rsid w:val="0022689A"/>
    <w:rsid w:val="00227B5E"/>
    <w:rsid w:val="0023568E"/>
    <w:rsid w:val="00241920"/>
    <w:rsid w:val="0025447D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5D6F"/>
    <w:rsid w:val="002F693F"/>
    <w:rsid w:val="003019A6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7576F"/>
    <w:rsid w:val="003871F2"/>
    <w:rsid w:val="00387D68"/>
    <w:rsid w:val="00393CF0"/>
    <w:rsid w:val="00395737"/>
    <w:rsid w:val="003C4D9B"/>
    <w:rsid w:val="003D0898"/>
    <w:rsid w:val="003D5CF2"/>
    <w:rsid w:val="003D63D8"/>
    <w:rsid w:val="003E25A4"/>
    <w:rsid w:val="00405D49"/>
    <w:rsid w:val="00413A9D"/>
    <w:rsid w:val="0044738A"/>
    <w:rsid w:val="004536CB"/>
    <w:rsid w:val="00453FDC"/>
    <w:rsid w:val="00454187"/>
    <w:rsid w:val="00454208"/>
    <w:rsid w:val="004560C8"/>
    <w:rsid w:val="004578AA"/>
    <w:rsid w:val="0046072D"/>
    <w:rsid w:val="00467445"/>
    <w:rsid w:val="00470319"/>
    <w:rsid w:val="004757A3"/>
    <w:rsid w:val="00475848"/>
    <w:rsid w:val="0048051C"/>
    <w:rsid w:val="00490811"/>
    <w:rsid w:val="004B138A"/>
    <w:rsid w:val="004C0E30"/>
    <w:rsid w:val="004C4A87"/>
    <w:rsid w:val="004C63BB"/>
    <w:rsid w:val="004D032D"/>
    <w:rsid w:val="004D5637"/>
    <w:rsid w:val="004F1759"/>
    <w:rsid w:val="00502573"/>
    <w:rsid w:val="00503304"/>
    <w:rsid w:val="005246C9"/>
    <w:rsid w:val="00526E00"/>
    <w:rsid w:val="00541E1F"/>
    <w:rsid w:val="00545F3F"/>
    <w:rsid w:val="005502F4"/>
    <w:rsid w:val="005676C2"/>
    <w:rsid w:val="00583B8E"/>
    <w:rsid w:val="00591EAC"/>
    <w:rsid w:val="0059783B"/>
    <w:rsid w:val="005A44A3"/>
    <w:rsid w:val="005A75A3"/>
    <w:rsid w:val="005B15FE"/>
    <w:rsid w:val="005E18C5"/>
    <w:rsid w:val="005E7E1E"/>
    <w:rsid w:val="005F1CA9"/>
    <w:rsid w:val="005F5F2D"/>
    <w:rsid w:val="005F69EE"/>
    <w:rsid w:val="005F6C28"/>
    <w:rsid w:val="006032C3"/>
    <w:rsid w:val="0061291D"/>
    <w:rsid w:val="00614BA0"/>
    <w:rsid w:val="00625D5C"/>
    <w:rsid w:val="006309AE"/>
    <w:rsid w:val="00635084"/>
    <w:rsid w:val="00652989"/>
    <w:rsid w:val="00653068"/>
    <w:rsid w:val="00665E15"/>
    <w:rsid w:val="00665EF6"/>
    <w:rsid w:val="00670BC7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AAC"/>
    <w:rsid w:val="006C529E"/>
    <w:rsid w:val="006D3449"/>
    <w:rsid w:val="006D3AC7"/>
    <w:rsid w:val="006E182C"/>
    <w:rsid w:val="006F00D0"/>
    <w:rsid w:val="00702DF8"/>
    <w:rsid w:val="00705E91"/>
    <w:rsid w:val="007362E2"/>
    <w:rsid w:val="007368D6"/>
    <w:rsid w:val="00743FF8"/>
    <w:rsid w:val="00744819"/>
    <w:rsid w:val="007530DC"/>
    <w:rsid w:val="007546CA"/>
    <w:rsid w:val="0076218B"/>
    <w:rsid w:val="00794A4A"/>
    <w:rsid w:val="00796E55"/>
    <w:rsid w:val="007A4F1F"/>
    <w:rsid w:val="007B017E"/>
    <w:rsid w:val="007F2400"/>
    <w:rsid w:val="00803580"/>
    <w:rsid w:val="008056B8"/>
    <w:rsid w:val="00816290"/>
    <w:rsid w:val="00851CBF"/>
    <w:rsid w:val="0085385E"/>
    <w:rsid w:val="00856556"/>
    <w:rsid w:val="0085661A"/>
    <w:rsid w:val="00860BF7"/>
    <w:rsid w:val="00876A6F"/>
    <w:rsid w:val="00881CAF"/>
    <w:rsid w:val="00883CB1"/>
    <w:rsid w:val="008A2217"/>
    <w:rsid w:val="008A42E2"/>
    <w:rsid w:val="008C1340"/>
    <w:rsid w:val="008E6088"/>
    <w:rsid w:val="008E783A"/>
    <w:rsid w:val="008F3005"/>
    <w:rsid w:val="009021B6"/>
    <w:rsid w:val="00907FBA"/>
    <w:rsid w:val="0094366C"/>
    <w:rsid w:val="009437DB"/>
    <w:rsid w:val="00944C45"/>
    <w:rsid w:val="00951C5C"/>
    <w:rsid w:val="00956B5D"/>
    <w:rsid w:val="0096227D"/>
    <w:rsid w:val="0096693E"/>
    <w:rsid w:val="0097105E"/>
    <w:rsid w:val="009865FE"/>
    <w:rsid w:val="00990103"/>
    <w:rsid w:val="00991483"/>
    <w:rsid w:val="00993870"/>
    <w:rsid w:val="00993B8C"/>
    <w:rsid w:val="009B1995"/>
    <w:rsid w:val="009B392B"/>
    <w:rsid w:val="009B4AF9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70202"/>
    <w:rsid w:val="00A74C5B"/>
    <w:rsid w:val="00A81B0C"/>
    <w:rsid w:val="00A84F6E"/>
    <w:rsid w:val="00A92A20"/>
    <w:rsid w:val="00AA7C73"/>
    <w:rsid w:val="00AD4482"/>
    <w:rsid w:val="00AD62B7"/>
    <w:rsid w:val="00AE641E"/>
    <w:rsid w:val="00B049AA"/>
    <w:rsid w:val="00B05EE1"/>
    <w:rsid w:val="00B13C31"/>
    <w:rsid w:val="00B14E3D"/>
    <w:rsid w:val="00B42F1F"/>
    <w:rsid w:val="00B475B7"/>
    <w:rsid w:val="00B5345B"/>
    <w:rsid w:val="00B55193"/>
    <w:rsid w:val="00B5775A"/>
    <w:rsid w:val="00B657BC"/>
    <w:rsid w:val="00B65ECF"/>
    <w:rsid w:val="00B66E79"/>
    <w:rsid w:val="00B67DE1"/>
    <w:rsid w:val="00B83E8F"/>
    <w:rsid w:val="00B931A3"/>
    <w:rsid w:val="00B93F8F"/>
    <w:rsid w:val="00B95268"/>
    <w:rsid w:val="00BB07AF"/>
    <w:rsid w:val="00BB52DF"/>
    <w:rsid w:val="00BC000E"/>
    <w:rsid w:val="00BE17B1"/>
    <w:rsid w:val="00BF1E87"/>
    <w:rsid w:val="00BF3949"/>
    <w:rsid w:val="00C03E4B"/>
    <w:rsid w:val="00C109CF"/>
    <w:rsid w:val="00C15123"/>
    <w:rsid w:val="00C332FF"/>
    <w:rsid w:val="00C33C64"/>
    <w:rsid w:val="00C528F7"/>
    <w:rsid w:val="00C53C8F"/>
    <w:rsid w:val="00C762EF"/>
    <w:rsid w:val="00C84922"/>
    <w:rsid w:val="00C85E67"/>
    <w:rsid w:val="00C92FE4"/>
    <w:rsid w:val="00C97DA8"/>
    <w:rsid w:val="00CA4F52"/>
    <w:rsid w:val="00CB7482"/>
    <w:rsid w:val="00CE4293"/>
    <w:rsid w:val="00CE66C4"/>
    <w:rsid w:val="00D00DA0"/>
    <w:rsid w:val="00D00E1A"/>
    <w:rsid w:val="00D056DA"/>
    <w:rsid w:val="00D25957"/>
    <w:rsid w:val="00D37879"/>
    <w:rsid w:val="00D43C84"/>
    <w:rsid w:val="00D54B33"/>
    <w:rsid w:val="00D56581"/>
    <w:rsid w:val="00D73642"/>
    <w:rsid w:val="00D749F5"/>
    <w:rsid w:val="00D76984"/>
    <w:rsid w:val="00D822E2"/>
    <w:rsid w:val="00D97E25"/>
    <w:rsid w:val="00DA471D"/>
    <w:rsid w:val="00DA73C1"/>
    <w:rsid w:val="00DD193F"/>
    <w:rsid w:val="00DD64A1"/>
    <w:rsid w:val="00DE0E1E"/>
    <w:rsid w:val="00DE39C8"/>
    <w:rsid w:val="00DF3916"/>
    <w:rsid w:val="00E05B6D"/>
    <w:rsid w:val="00E10241"/>
    <w:rsid w:val="00E12349"/>
    <w:rsid w:val="00E14567"/>
    <w:rsid w:val="00E20203"/>
    <w:rsid w:val="00E31C8F"/>
    <w:rsid w:val="00E43DE6"/>
    <w:rsid w:val="00E56AB5"/>
    <w:rsid w:val="00E61F61"/>
    <w:rsid w:val="00E62917"/>
    <w:rsid w:val="00E74EA5"/>
    <w:rsid w:val="00E774AB"/>
    <w:rsid w:val="00E77B67"/>
    <w:rsid w:val="00E802BE"/>
    <w:rsid w:val="00E8327E"/>
    <w:rsid w:val="00E94E65"/>
    <w:rsid w:val="00EA04E9"/>
    <w:rsid w:val="00EA19B8"/>
    <w:rsid w:val="00EA25D1"/>
    <w:rsid w:val="00EA48EB"/>
    <w:rsid w:val="00EA645E"/>
    <w:rsid w:val="00EA6657"/>
    <w:rsid w:val="00EB77A6"/>
    <w:rsid w:val="00EC4902"/>
    <w:rsid w:val="00ED0250"/>
    <w:rsid w:val="00ED3BDB"/>
    <w:rsid w:val="00ED69AF"/>
    <w:rsid w:val="00EE036F"/>
    <w:rsid w:val="00EE0DAD"/>
    <w:rsid w:val="00F02803"/>
    <w:rsid w:val="00F06F93"/>
    <w:rsid w:val="00F34D8C"/>
    <w:rsid w:val="00F42038"/>
    <w:rsid w:val="00F4632A"/>
    <w:rsid w:val="00F62FCC"/>
    <w:rsid w:val="00F66456"/>
    <w:rsid w:val="00F755B1"/>
    <w:rsid w:val="00F84248"/>
    <w:rsid w:val="00FB2294"/>
    <w:rsid w:val="00FC65EE"/>
    <w:rsid w:val="00FD457E"/>
    <w:rsid w:val="00FE29B4"/>
    <w:rsid w:val="00FF00E6"/>
    <w:rsid w:val="00FF01EB"/>
    <w:rsid w:val="00FF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977AF-36DE-43CE-BE06-D44295267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6342</Words>
  <Characters>37424</Characters>
  <Application>Microsoft Office Word</Application>
  <DocSecurity>0</DocSecurity>
  <Lines>311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gebauerm</cp:lastModifiedBy>
  <cp:revision>18</cp:revision>
  <cp:lastPrinted>2014-09-29T16:09:00Z</cp:lastPrinted>
  <dcterms:created xsi:type="dcterms:W3CDTF">2014-11-05T07:42:00Z</dcterms:created>
  <dcterms:modified xsi:type="dcterms:W3CDTF">2014-11-25T12:05:00Z</dcterms:modified>
</cp:coreProperties>
</file>